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9.png" ContentType="image/png"/>
  <Override PartName="/word/media/image10.png" ContentType="image/png"/>
  <Override PartName="/word/media/image11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media/image21.png" ContentType="image/png"/>
  <Override PartName="/word/media/image22.png" ContentType="image/png"/>
  <Override PartName="/word/media/image23.png" ContentType="image/png"/>
  <Override PartName="/word/media/image24.png" ContentType="image/png"/>
  <Override PartName="/word/media/image25.png" ContentType="image/png"/>
  <Override PartName="/word/media/image26.png" ContentType="image/png"/>
  <Override PartName="/word/media/image27.png" ContentType="image/png"/>
  <Override PartName="/word/media/image28.png" ContentType="image/png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>
          <w:rFonts w:ascii="Verdana" w:hAnsi="Verdana" w:cs="Verdana"/>
        </w:rPr>
      </w:pPr>
      <w:r>
        <w:rPr>
          <w:rFonts w:cs="Verdana" w:ascii="Verdana" w:hAnsi="Verdana"/>
        </w:rPr>
      </w:r>
    </w:p>
    <w:p>
      <w:pPr>
        <w:pStyle w:val="Normal"/>
        <w:ind w:start="1416" w:end="-487" w:hanging="0"/>
        <w:jc w:val="both"/>
        <w:rPr/>
      </w:pPr>
      <w:r>
        <w:rPr>
          <w:rFonts w:cs="Arial" w:ascii="Arial" w:hAnsi="Arial"/>
          <w:b/>
          <w:sz w:val="32"/>
          <w:szCs w:val="32"/>
        </w:rPr>
        <w:t xml:space="preserve">   </w:t>
      </w:r>
      <w:r>
        <w:rPr>
          <w:rFonts w:cs="Arial" w:ascii="Arial" w:hAnsi="Arial"/>
          <w:b/>
          <w:color w:val="1F497D"/>
        </w:rPr>
        <w:t xml:space="preserve">    </w:t>
      </w:r>
    </w:p>
    <w:p>
      <w:pPr>
        <w:pStyle w:val="Normal"/>
        <w:spacing w:lineRule="atLeast" w:line="100"/>
        <w:rPr>
          <w:rFonts w:ascii="Arial" w:hAnsi="Arial" w:cs="Arial"/>
          <w:w w:val="90"/>
        </w:rPr>
      </w:pPr>
      <w:r>
        <w:rPr>
          <w:rFonts w:cs="Arial" w:ascii="Arial" w:hAnsi="Arial"/>
          <w:w w:val="90"/>
        </w:rPr>
      </w:r>
    </w:p>
    <w:p>
      <w:pPr>
        <w:pStyle w:val="Normal"/>
        <w:spacing w:before="0" w:after="200"/>
        <w:rPr>
          <w:rFonts w:ascii="Arial" w:hAnsi="Arial" w:eastAsia="SimSun" w:cs="Arial"/>
          <w:w w:val="90"/>
          <w:sz w:val="22"/>
          <w:szCs w:val="22"/>
        </w:rPr>
      </w:pPr>
      <w:r>
        <w:rPr>
          <w:rFonts w:eastAsia="SimSun" w:cs="Arial" w:ascii="Arial" w:hAnsi="Arial"/>
          <w:w w:val="90"/>
          <w:sz w:val="22"/>
          <w:szCs w:val="22"/>
        </w:rPr>
      </w:r>
    </w:p>
    <w:p>
      <w:pPr>
        <w:pStyle w:val="Normal"/>
        <w:rPr>
          <w:rFonts w:ascii="Verdana" w:hAnsi="Verdana" w:cs="Verdana"/>
        </w:rPr>
      </w:pPr>
      <w:r>
        <w:rPr>
          <w:rFonts w:cs="Verdana" w:ascii="Verdana" w:hAnsi="Verdana"/>
        </w:rPr>
      </w:r>
    </w:p>
    <w:p>
      <w:pPr>
        <w:pStyle w:val="Normal"/>
        <w:rPr>
          <w:rFonts w:ascii="Verdana" w:hAnsi="Verdana" w:cs="Verdana"/>
        </w:rPr>
      </w:pPr>
      <w:r>
        <w:rPr>
          <w:rFonts w:cs="Verdana" w:ascii="Verdana" w:hAnsi="Verdana"/>
        </w:rPr>
      </w:r>
    </w:p>
    <w:p>
      <w:pPr>
        <w:pStyle w:val="Normal"/>
        <w:ind w:start="1416" w:end="-447" w:hanging="0"/>
        <w:jc w:val="end"/>
        <w:rPr/>
      </w:pPr>
      <w:r>
        <w:rPr/>
      </w:r>
    </w:p>
    <w:p>
      <w:pPr>
        <w:pStyle w:val="Normal"/>
        <w:ind w:start="1416" w:end="-447" w:hanging="0"/>
        <w:jc w:val="end"/>
        <w:rPr/>
      </w:pPr>
      <w:r>
        <w:rPr/>
      </w:r>
    </w:p>
    <w:p>
      <w:pPr>
        <w:pStyle w:val="Normal"/>
        <w:jc w:val="end"/>
        <w:rPr>
          <w:rFonts w:ascii="Verdana" w:hAnsi="Verdana" w:cs="Verdana"/>
        </w:rPr>
      </w:pPr>
      <w:r>
        <w:rPr>
          <w:rFonts w:cs="Verdana" w:ascii="Verdana" w:hAnsi="Verdana"/>
        </w:rPr>
      </w:r>
    </w:p>
    <w:p>
      <w:pPr>
        <w:pStyle w:val="Colozwyky1"/>
        <w:jc w:val="end"/>
        <w:rPr/>
      </w:pPr>
      <w:r>
        <w:rPr/>
      </w:r>
    </w:p>
    <w:p>
      <w:pPr>
        <w:pStyle w:val="NoSpacing"/>
        <w:jc w:val="end"/>
        <w:rPr>
          <w:rFonts w:ascii="Verdana" w:hAnsi="Verdana"/>
          <w:b/>
          <w:b/>
          <w:bCs/>
        </w:rPr>
      </w:pPr>
      <w:r>
        <w:rPr>
          <w:rFonts w:ascii="Verdana" w:hAnsi="Verdana"/>
          <w:b/>
          <w:bCs/>
        </w:rPr>
        <w:t>PROJEKT ADAP</w:t>
      </w:r>
      <w:r>
        <w:rPr>
          <w:rFonts w:ascii="Verdana" w:hAnsi="Verdana"/>
          <w:b/>
          <w:bCs/>
        </w:rPr>
        <w:t>T</w:t>
      </w:r>
      <w:r>
        <w:rPr>
          <w:rFonts w:ascii="Verdana" w:hAnsi="Verdana"/>
          <w:b/>
          <w:bCs/>
        </w:rPr>
        <w:t xml:space="preserve">ACJI AKUSTYCZNEJ </w:t>
      </w:r>
    </w:p>
    <w:p>
      <w:pPr>
        <w:pStyle w:val="NoSpacing"/>
        <w:jc w:val="end"/>
        <w:rPr>
          <w:rFonts w:ascii="Verdana" w:hAnsi="Verdana"/>
          <w:b/>
          <w:b/>
          <w:bCs/>
        </w:rPr>
      </w:pPr>
      <w:r>
        <w:rPr>
          <w:rFonts w:ascii="Verdana" w:hAnsi="Verdana"/>
          <w:b/>
          <w:bCs/>
        </w:rPr>
        <w:t>SALI SPORTOWEJ W STAREJ BŁOTNICY</w:t>
      </w:r>
    </w:p>
    <w:p>
      <w:pPr>
        <w:pStyle w:val="NoSpacing"/>
        <w:jc w:val="end"/>
        <w:rPr>
          <w:rFonts w:ascii="Verdana" w:hAnsi="Verdana"/>
          <w:b/>
          <w:b/>
          <w:bCs/>
        </w:rPr>
      </w:pPr>
      <w:r>
        <w:rPr>
          <w:rFonts w:ascii="Verdana" w:hAnsi="Verdana"/>
          <w:b/>
          <w:bCs/>
        </w:rPr>
      </w:r>
    </w:p>
    <w:p>
      <w:pPr>
        <w:pStyle w:val="NoSpacing"/>
        <w:jc w:val="end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</w:r>
    </w:p>
    <w:p>
      <w:pPr>
        <w:pStyle w:val="Normal"/>
        <w:tabs>
          <w:tab w:val="clear" w:pos="708"/>
          <w:tab w:val="left" w:pos="7032" w:leader="none"/>
        </w:tabs>
        <w:spacing w:lineRule="auto" w:line="360"/>
        <w:jc w:val="center"/>
        <w:rPr>
          <w:rFonts w:ascii="Verdana" w:hAnsi="Verdana" w:cs="Verdana"/>
          <w:sz w:val="28"/>
          <w:szCs w:val="48"/>
        </w:rPr>
      </w:pPr>
      <w:r>
        <w:rPr/>
        <w:drawing>
          <wp:inline distT="0" distB="0" distL="0" distR="0">
            <wp:extent cx="6144260" cy="3324860"/>
            <wp:effectExtent l="0" t="0" r="0" b="0"/>
            <wp:docPr id="1" name="Obraz 1" descr="Obraz zawierający architektura, design, budynek, sztuka&#10;&#10;Opis wygenerowany automatycznie przy średnim poziomie pewności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architektura, design, budynek, sztuka&#10;&#10;Opis wygenerowany automatycznie przy średnim poziomie pewności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6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clear" w:pos="708"/>
          <w:tab w:val="left" w:pos="7032" w:leader="none"/>
        </w:tabs>
        <w:spacing w:lineRule="auto" w:line="360"/>
        <w:rPr>
          <w:rFonts w:ascii="Verdana" w:hAnsi="Verdana" w:cs="Verdana"/>
          <w:sz w:val="28"/>
          <w:szCs w:val="28"/>
        </w:rPr>
      </w:pPr>
      <w:r>
        <w:rPr>
          <w:rFonts w:cs="Verdana" w:ascii="Verdana" w:hAnsi="Verdana"/>
          <w:sz w:val="28"/>
          <w:szCs w:val="28"/>
        </w:rPr>
      </w:r>
    </w:p>
    <w:p>
      <w:pPr>
        <w:pStyle w:val="Normal"/>
        <w:jc w:val="center"/>
        <w:rPr>
          <w:rFonts w:ascii="Verdana" w:hAnsi="Verdana" w:cs="Verdana"/>
          <w:sz w:val="28"/>
          <w:szCs w:val="28"/>
        </w:rPr>
      </w:pPr>
      <w:r>
        <w:rPr>
          <w:rFonts w:cs="Verdana" w:ascii="Verdana" w:hAnsi="Verdana"/>
          <w:sz w:val="28"/>
          <w:szCs w:val="28"/>
        </w:rPr>
      </w:r>
    </w:p>
    <w:p>
      <w:pPr>
        <w:pStyle w:val="Normal"/>
        <w:jc w:val="center"/>
        <w:rPr>
          <w:rFonts w:ascii="Verdana" w:hAnsi="Verdana" w:cs="Verdana"/>
          <w:sz w:val="28"/>
          <w:szCs w:val="28"/>
        </w:rPr>
      </w:pPr>
      <w:r>
        <w:rPr>
          <w:rFonts w:cs="Verdana" w:ascii="Verdana" w:hAnsi="Verdana"/>
          <w:sz w:val="28"/>
          <w:szCs w:val="28"/>
        </w:rPr>
      </w:r>
    </w:p>
    <w:p>
      <w:pPr>
        <w:pStyle w:val="Normal"/>
        <w:jc w:val="end"/>
        <w:rPr>
          <w:rFonts w:ascii="Verdana" w:hAnsi="Verdana" w:cs="Verdana"/>
          <w:sz w:val="20"/>
        </w:rPr>
      </w:pPr>
      <w:r>
        <w:rPr>
          <w:rFonts w:cs="Verdana" w:ascii="Verdana" w:hAnsi="Verdana"/>
          <w:sz w:val="20"/>
        </w:rPr>
      </w:r>
    </w:p>
    <w:p>
      <w:pPr>
        <w:pStyle w:val="Normal"/>
        <w:jc w:val="end"/>
        <w:rPr>
          <w:rFonts w:ascii="Verdana" w:hAnsi="Verdana" w:cs="Verdana"/>
          <w:sz w:val="20"/>
        </w:rPr>
      </w:pPr>
      <w:r>
        <w:rPr>
          <w:rFonts w:cs="Verdana" w:ascii="Verdana" w:hAnsi="Verdana"/>
          <w:sz w:val="20"/>
        </w:rPr>
      </w:r>
    </w:p>
    <w:p>
      <w:pPr>
        <w:pStyle w:val="Normal"/>
        <w:jc w:val="end"/>
        <w:rPr>
          <w:rFonts w:ascii="Verdana" w:hAnsi="Verdana" w:cs="Verdana"/>
          <w:sz w:val="20"/>
        </w:rPr>
      </w:pPr>
      <w:r>
        <w:rPr>
          <w:rFonts w:cs="Verdana" w:ascii="Verdana" w:hAnsi="Verdana"/>
          <w:sz w:val="20"/>
        </w:rPr>
      </w:r>
    </w:p>
    <w:tbl>
      <w:tblPr>
        <w:tblW w:w="977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0" w:noVBand="0" w:lastRow="0" w:firstColumn="0" w:lastColumn="0" w:noHBand="0"/>
      </w:tblPr>
      <w:tblGrid>
        <w:gridCol w:w="2977"/>
        <w:gridCol w:w="6800"/>
      </w:tblGrid>
      <w:tr>
        <w:trPr>
          <w:trHeight w:val="1474" w:hRule="atLeast"/>
        </w:trPr>
        <w:tc>
          <w:tcPr>
            <w:tcW w:w="2977" w:type="dxa"/>
            <w:tcBorders/>
          </w:tcPr>
          <w:p>
            <w:pPr>
              <w:pStyle w:val="Normal"/>
              <w:widowControl w:val="false"/>
              <w:snapToGrid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</w:tc>
        <w:tc>
          <w:tcPr>
            <w:tcW w:w="6800" w:type="dxa"/>
            <w:tcBorders/>
          </w:tcPr>
          <w:p>
            <w:pPr>
              <w:pStyle w:val="Normal"/>
              <w:widowControl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Opracowanie wykonał:</w:t>
            </w:r>
          </w:p>
          <w:p>
            <w:pPr>
              <w:pStyle w:val="Normal"/>
              <w:widowControl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  <w:p>
            <w:pPr>
              <w:pStyle w:val="Normal"/>
              <w:widowControl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  <w:p>
            <w:pPr>
              <w:pStyle w:val="Normal"/>
              <w:widowControl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  <w:p>
            <w:pPr>
              <w:pStyle w:val="Normal"/>
              <w:widowControl w:val="false"/>
              <w:jc w:val="end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  <w:p>
            <w:pPr>
              <w:pStyle w:val="Normal"/>
              <w:widowControl w:val="false"/>
              <w:jc w:val="end"/>
              <w:rPr>
                <w:rFonts w:ascii="Verdana" w:hAnsi="Verdana"/>
              </w:rPr>
            </w:pPr>
            <w:r>
              <w:rPr>
                <w:rFonts w:ascii="Verdana" w:hAnsi="Verdana"/>
              </w:rPr>
            </w:r>
          </w:p>
        </w:tc>
      </w:tr>
      <w:tr>
        <w:trPr/>
        <w:tc>
          <w:tcPr>
            <w:tcW w:w="2977" w:type="dxa"/>
            <w:tcBorders/>
          </w:tcPr>
          <w:p>
            <w:pPr>
              <w:pStyle w:val="Normal"/>
              <w:widowControl w:val="false"/>
              <w:snapToGrid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</w:r>
          </w:p>
        </w:tc>
        <w:tc>
          <w:tcPr>
            <w:tcW w:w="6800" w:type="dxa"/>
            <w:tcBorders/>
          </w:tcPr>
          <w:p>
            <w:pPr>
              <w:pStyle w:val="Normal"/>
              <w:widowControl w:val="false"/>
              <w:jc w:val="end"/>
              <w:rPr>
                <w:rFonts w:ascii="Verdana" w:hAnsi="Verdana"/>
              </w:rPr>
            </w:pPr>
            <w:r>
              <w:rPr>
                <w:rFonts w:ascii="Verdana" w:hAnsi="Verdana"/>
                <w:sz w:val="20"/>
                <w:szCs w:val="20"/>
              </w:rPr>
              <w:t>mgr inż. Marek Antoniak</w:t>
            </w:r>
          </w:p>
        </w:tc>
      </w:tr>
    </w:tbl>
    <w:p>
      <w:pPr>
        <w:pStyle w:val="Normal"/>
        <w:jc w:val="both"/>
        <w:rPr>
          <w:rFonts w:ascii="Verdana" w:hAnsi="Verdana" w:cs="Verdana"/>
          <w:b/>
          <w:b/>
          <w:bCs/>
        </w:rPr>
      </w:pPr>
      <w:r>
        <w:rPr>
          <w:rFonts w:cs="Verdana" w:ascii="Verdana" w:hAnsi="Verdana"/>
          <w:b/>
          <w:bCs/>
        </w:rPr>
      </w:r>
    </w:p>
    <w:p>
      <w:pPr>
        <w:pStyle w:val="Normal"/>
        <w:jc w:val="both"/>
        <w:rPr>
          <w:rFonts w:ascii="Verdana" w:hAnsi="Verdana" w:cs="Verdana"/>
          <w:b/>
          <w:b/>
          <w:bCs/>
        </w:rPr>
      </w:pPr>
      <w:r>
        <w:rPr>
          <w:rFonts w:cs="Verdana" w:ascii="Verdana" w:hAnsi="Verdana"/>
          <w:b/>
          <w:bCs/>
        </w:rPr>
      </w:r>
    </w:p>
    <w:p>
      <w:pPr>
        <w:pStyle w:val="Normal"/>
        <w:jc w:val="center"/>
        <w:rPr>
          <w:rFonts w:ascii="Verdana" w:hAnsi="Verdana" w:cs="Verdana"/>
          <w:sz w:val="16"/>
        </w:rPr>
      </w:pPr>
      <w:r>
        <w:rPr>
          <w:rFonts w:cs="Verdana" w:ascii="Verdana" w:hAnsi="Verdana"/>
        </w:rPr>
        <w:tab/>
      </w:r>
    </w:p>
    <w:tbl>
      <w:tblPr>
        <w:tblW w:w="977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0" w:noVBand="0" w:lastRow="0" w:firstColumn="0" w:lastColumn="0" w:noHBand="0"/>
      </w:tblPr>
      <w:tblGrid>
        <w:gridCol w:w="9778"/>
      </w:tblGrid>
      <w:tr>
        <w:trPr/>
        <w:tc>
          <w:tcPr>
            <w:tcW w:w="9778" w:type="dxa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napToGrid w:val="false"/>
              <w:jc w:val="center"/>
              <w:rPr>
                <w:rFonts w:ascii="Verdana" w:hAnsi="Verdana" w:cs="Verdana"/>
                <w:sz w:val="16"/>
              </w:rPr>
            </w:pPr>
            <w:r>
              <w:rPr>
                <w:rFonts w:cs="Verdana" w:ascii="Verdana" w:hAnsi="Verdana"/>
                <w:sz w:val="16"/>
              </w:rPr>
            </w:r>
          </w:p>
          <w:p>
            <w:pPr>
              <w:pStyle w:val="Normal"/>
              <w:widowControl w:val="false"/>
              <w:jc w:val="center"/>
              <w:rPr>
                <w:rFonts w:ascii="Verdana" w:hAnsi="Verdana"/>
              </w:rPr>
            </w:pPr>
            <w:r>
              <w:rPr>
                <w:rFonts w:cs="Verdana" w:ascii="Verdana" w:hAnsi="Verdana"/>
                <w:sz w:val="20"/>
              </w:rPr>
              <w:t>Październik 2024</w:t>
            </w:r>
          </w:p>
        </w:tc>
      </w:tr>
    </w:tbl>
    <w:p>
      <w:pPr>
        <w:sectPr>
          <w:type w:val="nextPage"/>
          <w:pgSz w:w="11906" w:h="16838"/>
          <w:pgMar w:left="1134" w:right="1134" w:gutter="0" w:header="0" w:top="902" w:footer="0" w:bottom="1134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agwekspisutreci"/>
        <w:spacing w:before="0" w:after="120"/>
        <w:ind w:start="720" w:hanging="0"/>
        <w:jc w:val="center"/>
        <w:rPr>
          <w:rFonts w:ascii="Verdana" w:hAnsi="Verdana" w:cs="Verdana"/>
          <w:sz w:val="24"/>
        </w:rPr>
      </w:pPr>
      <w:r>
        <w:rPr>
          <w:rFonts w:cs="Verdana" w:ascii="Verdana" w:hAnsi="Verdana"/>
          <w:sz w:val="24"/>
        </w:rPr>
      </w:r>
    </w:p>
    <w:p>
      <w:pPr>
        <w:pStyle w:val="Nagwekspisutreci"/>
        <w:spacing w:before="0" w:after="120"/>
        <w:ind w:start="720" w:hanging="0"/>
        <w:jc w:val="center"/>
        <w:rPr>
          <w:rFonts w:ascii="Verdana" w:hAnsi="Verdana" w:cs="Verdana"/>
          <w:color w:val="C00000"/>
          <w:sz w:val="24"/>
        </w:rPr>
      </w:pPr>
      <w:r>
        <w:rPr>
          <w:rFonts w:cs="Verdana" w:ascii="Verdana" w:hAnsi="Verdana"/>
          <w:color w:val="C00000"/>
          <w:sz w:val="24"/>
        </w:rPr>
        <w:t>SPIS TREŚCI</w:t>
      </w:r>
    </w:p>
    <w:p>
      <w:pPr>
        <w:pStyle w:val="Normal"/>
        <w:rPr>
          <w:rFonts w:ascii="Verdana" w:hAnsi="Verdana"/>
        </w:rPr>
      </w:pPr>
      <w:r>
        <w:rPr>
          <w:rFonts w:ascii="Verdana" w:hAnsi="Verdana"/>
        </w:rPr>
      </w:r>
    </w:p>
    <w:sdt>
      <w:sdtPr>
        <w:docPartObj>
          <w:docPartGallery w:val="Table of Contents"/>
          <w:docPartUnique w:val="true"/>
        </w:docPartObj>
        <w:id w:val="94521352"/>
      </w:sdtPr>
      <w:sdtContent>
        <w:p>
          <w:pPr>
            <w:pStyle w:val="Nagwekspisutreci"/>
            <w:rPr/>
          </w:pPr>
          <w:r>
            <w:rPr/>
          </w:r>
        </w:p>
        <w:p>
          <w:pPr>
            <w:pStyle w:val="Spistreci1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b w:val="false"/>
              <w:b w:val="false"/>
              <w:kern w:val="2"/>
              <w:sz w:val="24"/>
              <w:szCs w:val="24"/>
              <w:lang w:eastAsia="pl-PL"/>
              <w14:ligatures w14:val="standardContextual"/>
            </w:rPr>
          </w:pPr>
          <w:r>
            <w:fldChar w:fldCharType="begin"/>
          </w:r>
          <w:r>
            <w:rPr>
              <w:webHidden/>
              <w:rStyle w:val="Czeindeksu"/>
              <w:bCs/>
            </w:rPr>
            <w:instrText xml:space="preserve"> TOC \z \o "1-3" \u \h</w:instrText>
          </w:r>
          <w:r>
            <w:rPr>
              <w:webHidden/>
              <w:rStyle w:val="Czeindeksu"/>
              <w:bCs/>
            </w:rPr>
            <w:fldChar w:fldCharType="separate"/>
          </w:r>
          <w:hyperlink w:anchor="_Toc182663378">
            <w:r>
              <w:rPr>
                <w:webHidden/>
                <w:rStyle w:val="Czeindeksu"/>
                <w:bCs/>
              </w:rPr>
              <w:t>WSTĘP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_Toc182663378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79">
            <w:r>
              <w:rPr>
                <w:webHidden/>
                <w:rStyle w:val="Czeindeksu"/>
              </w:rPr>
              <w:t>Cel wykonania opracowania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_Toc182663379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0">
            <w:r>
              <w:rPr>
                <w:webHidden/>
                <w:rStyle w:val="Czeindeksu"/>
              </w:rPr>
              <w:t>Podstawa prawna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_Toc182663380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1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b w:val="false"/>
              <w:b w:val="false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1">
            <w:r>
              <w:rPr>
                <w:webHidden/>
                <w:rStyle w:val="Czeindeksu"/>
                <w:bCs/>
              </w:rPr>
              <w:t>HAŁAS ŚRODOWISKOWY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_Toc182663381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2">
            <w:r>
              <w:rPr>
                <w:webHidden/>
                <w:rStyle w:val="Czeindeksu"/>
              </w:rPr>
              <w:t>Sposób określenia miarodajnego poziomu hałasu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_Toc182663382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3">
            <w:r>
              <w:rPr>
                <w:webHidden/>
                <w:rStyle w:val="Czeindeksu"/>
              </w:rPr>
              <w:t>Zalecenia dotyczące emisji hałasu do środowiska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_Toc182663383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4">
            <w:r>
              <w:rPr>
                <w:webHidden/>
                <w:rStyle w:val="Czeindeksu"/>
              </w:rPr>
              <w:t>Opis sytuacyjny inwestycji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_Toc182663384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5">
            <w:r>
              <w:rPr>
                <w:webHidden/>
                <w:rStyle w:val="Czeindeksu"/>
              </w:rPr>
              <w:t>WYMAGANIA AKUSTYCZNE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_Toc182663385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6">
            <w:r>
              <w:rPr>
                <w:webHidden/>
                <w:rStyle w:val="Czeindeksu"/>
              </w:rPr>
              <w:t>5.1 Zalecenia dotyczące izolacyjności przegród zewnętrznych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_Toc182663386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7">
            <w:r>
              <w:rPr>
                <w:webHidden/>
                <w:rStyle w:val="Czeindeksu"/>
              </w:rPr>
              <w:t>AKUSTYKA WNĘTRZ – PARAMETRY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_Toc182663387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8">
            <w:r>
              <w:rPr>
                <w:webHidden/>
                <w:rStyle w:val="Czeindeksu"/>
              </w:rPr>
              <w:t>Charakterystyka czasu pogłosu - RT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_Toc182663388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89">
            <w:r>
              <w:rPr>
                <w:webHidden/>
                <w:rStyle w:val="Czeindeksu"/>
              </w:rPr>
              <w:t>Charakterystyka wskaźnika zrozumiałości mowy – wskaźnik STI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_Toc182663389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90">
            <w:r>
              <w:rPr>
                <w:webHidden/>
                <w:rStyle w:val="Czeindeksu"/>
                <w:bCs/>
              </w:rPr>
              <w:t>STAN SUROWY SALI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_Toc182663390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10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91">
            <w:r>
              <w:rPr>
                <w:webHidden/>
                <w:rStyle w:val="Czeindeksu"/>
                <w:bCs/>
              </w:rPr>
              <w:t>WYTYCZNE AKUSTYCZNE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_Toc182663391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12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92">
            <w:r>
              <w:rPr>
                <w:webHidden/>
                <w:rStyle w:val="Czeindeksu"/>
              </w:rPr>
              <w:t>SALA SPORTOWA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_Toc182663392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13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93">
            <w:r>
              <w:rPr>
                <w:webHidden/>
                <w:rStyle w:val="Czeindeksu"/>
              </w:rPr>
              <w:t>Wyniki symulacji sali sportowe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_Toc182663393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20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Spistreci2"/>
            <w:tabs>
              <w:tab w:val="clear" w:pos="708"/>
              <w:tab w:val="right" w:pos="9628" w:leader="dot"/>
            </w:tabs>
            <w:rPr>
              <w:rFonts w:ascii="Calibri" w:hAnsi="Calibri" w:eastAsia="" w:cs="" w:asciiTheme="minorHAnsi" w:cstheme="minorBidi" w:eastAsiaTheme="minorEastAsia" w:hAnsiTheme="minorHAns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2663394">
            <w:r>
              <w:rPr>
                <w:webHidden/>
                <w:rStyle w:val="Czeindeksu"/>
              </w:rPr>
              <w:t>PODSUMOWANIE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_Toc182663394 \h</w:instrText>
            </w:r>
            <w:r>
              <w:rPr>
                <w:webHidden/>
              </w:rPr>
              <w:fldChar w:fldCharType="separate"/>
            </w:r>
            <w:r>
              <w:rPr>
                <w:rStyle w:val="Czeindeksu"/>
                <w:vanish w:val="false"/>
              </w:rPr>
              <w:tab/>
              <w:t>24</w:t>
            </w:r>
            <w:r>
              <w:rPr>
                <w:webHidden/>
              </w:rPr>
              <w:fldChar w:fldCharType="end"/>
            </w:r>
          </w:hyperlink>
          <w:r>
            <w:rPr>
              <w:rStyle w:val="Czeindeksu"/>
              <w:vanish w:val="false"/>
            </w:rPr>
            <w:fldChar w:fldCharType="end"/>
          </w:r>
        </w:p>
      </w:sdtContent>
    </w:sdt>
    <w:p>
      <w:pPr>
        <w:pStyle w:val="Normal"/>
        <w:widowControl/>
        <w:bidi w:val="0"/>
        <w:spacing w:lineRule="auto" w:line="240" w:before="0" w:after="0"/>
        <w:jc w:val="start"/>
        <w:rPr>
          <w:rFonts w:ascii="Times New Roman" w:hAnsi="Times New Roman" w:eastAsia="Times New Roman" w:cs="Times New Roman"/>
          <w:sz w:val="24"/>
          <w:szCs w:val="24"/>
          <w:lang w:eastAsia="pl-PL"/>
        </w:rPr>
      </w:pPr>
      <w:r>
        <w:rPr>
          <w:rFonts w:eastAsia="Times New Roman" w:cs="Times New Roman"/>
          <w:sz w:val="24"/>
          <w:szCs w:val="24"/>
          <w:lang w:eastAsia="pl-PL"/>
        </w:rPr>
      </w:r>
      <w:r>
        <w:br w:type="page"/>
      </w:r>
    </w:p>
    <w:p>
      <w:pPr>
        <w:pStyle w:val="Nagwek1"/>
        <w:rPr>
          <w:b/>
          <w:b/>
          <w:bCs/>
        </w:rPr>
      </w:pPr>
      <w:bookmarkStart w:id="0" w:name="_Toc182663378"/>
      <w:bookmarkStart w:id="1" w:name="_Toc179821687"/>
      <w:bookmarkStart w:id="2" w:name="_Toc467222215"/>
      <w:r>
        <w:rPr>
          <w:b/>
          <w:bCs/>
        </w:rPr>
        <w:t>W</w:t>
      </w:r>
      <w:bookmarkEnd w:id="1"/>
      <w:bookmarkEnd w:id="2"/>
      <w:r>
        <w:rPr>
          <w:b/>
          <w:bCs/>
        </w:rPr>
        <w:t>STĘP</w:t>
      </w:r>
      <w:bookmarkEnd w:id="0"/>
    </w:p>
    <w:p>
      <w:pPr>
        <w:pStyle w:val="Normal"/>
        <w:rPr/>
      </w:pPr>
      <w:r>
        <w:rPr/>
      </w:r>
    </w:p>
    <w:p>
      <w:pPr>
        <w:pStyle w:val="Nagwek2"/>
        <w:ind w:start="576" w:hanging="576"/>
        <w:rPr/>
      </w:pPr>
      <w:bookmarkStart w:id="3" w:name="_Toc182663379"/>
      <w:bookmarkStart w:id="4" w:name="_Toc179821688"/>
      <w:bookmarkStart w:id="5" w:name="_Toc465169946"/>
      <w:r>
        <w:rPr/>
        <w:t>Cel wykonania opracowania</w:t>
      </w:r>
      <w:bookmarkEnd w:id="3"/>
      <w:bookmarkEnd w:id="4"/>
      <w:bookmarkEnd w:id="5"/>
    </w:p>
    <w:p>
      <w:pPr>
        <w:pStyle w:val="NoSpacing"/>
        <w:jc w:val="both"/>
        <w:rPr>
          <w:rFonts w:ascii="Verdana" w:hAnsi="Verdana"/>
          <w:b/>
          <w:b/>
          <w:bCs/>
          <w:sz w:val="20"/>
        </w:rPr>
      </w:pPr>
      <w:r>
        <w:rPr>
          <w:rFonts w:ascii="Verdana" w:hAnsi="Verdana"/>
          <w:b/>
          <w:bCs/>
          <w:sz w:val="20"/>
        </w:rPr>
      </w:r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W związku z planowaną inwestycją o nazwie</w:t>
      </w:r>
      <w:bookmarkStart w:id="6" w:name="_Hlk175590561"/>
      <w:bookmarkStart w:id="7" w:name="_Hlk179847545"/>
      <w:r>
        <w:rPr>
          <w:rFonts w:ascii="Verdana" w:hAnsi="Verdana"/>
          <w:sz w:val="20"/>
        </w:rPr>
        <w:t>: „ Budowa sali gimnastycznej wraz z łącznikiem, zagospodarowaniem terenu, przebudową instalacji wewnętrznych oraz odcinków zewnętrznych tych instalacji, rozbiórką obiektu budowlanego (garaż) i budynku (budynek mieszkalny), przeprowadzenie robót budowlanych w istniejącej sali gimnastycznej oraz prace modernizacyjne w istniejącym budynku szkoły podstawowej na działce nr 358 ob. Stary Gózd” w Gminie Stara Błotnica, Stara Błotnica 46, 26-806 Stara Błotnica.</w:t>
      </w:r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 </w:t>
      </w:r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  <w:bookmarkEnd w:id="6"/>
      <w:bookmarkEnd w:id="7"/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Celem sporządzenia niniejszego opracowania jest określenie zakresu i określenia materiałów w jakich należy wykończyć salę sportową celem osiągnięcia co najmniej warunków określonych w Normie PN-B-0215-4 w zakresie wymaganego dopuszczalnego czasu pogłosu i wskaźnika zrozumiałości mowy.</w:t>
      </w:r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Colozwyky1"/>
        <w:rPr>
          <w:bCs/>
        </w:rPr>
      </w:pPr>
      <w:r>
        <w:rPr>
          <w:bCs/>
        </w:rPr>
        <w:t>Powyższą analizę przeprowadzono w oparciu o obowiązujące wytyczne normowe, dostępną literaturę branżową i przesłane od Zamawiającego rysunki techniczne i sugerowane materiały do wnętrz.</w:t>
      </w:r>
    </w:p>
    <w:p>
      <w:pPr>
        <w:pStyle w:val="Nagwek2"/>
        <w:ind w:start="576" w:hanging="576"/>
        <w:rPr/>
      </w:pPr>
      <w:bookmarkStart w:id="8" w:name="_Toc182663380"/>
      <w:bookmarkStart w:id="9" w:name="_Toc179821689"/>
      <w:bookmarkStart w:id="10" w:name="_Toc465169947"/>
      <w:r>
        <w:rPr/>
        <w:t>Podstawa</w:t>
      </w:r>
      <w:bookmarkEnd w:id="10"/>
      <w:r>
        <w:rPr/>
        <w:t xml:space="preserve"> prawna</w:t>
      </w:r>
      <w:bookmarkEnd w:id="8"/>
      <w:bookmarkEnd w:id="9"/>
    </w:p>
    <w:p>
      <w:pPr>
        <w:pStyle w:val="Colozwyky1"/>
        <w:numPr>
          <w:ilvl w:val="0"/>
          <w:numId w:val="3"/>
        </w:numPr>
        <w:rPr/>
      </w:pPr>
      <w:r>
        <w:rPr/>
        <w:t>Zlecenie,</w:t>
      </w:r>
    </w:p>
    <w:p>
      <w:pPr>
        <w:pStyle w:val="Colozwyky1"/>
        <w:numPr>
          <w:ilvl w:val="0"/>
          <w:numId w:val="3"/>
        </w:numPr>
        <w:rPr/>
      </w:pPr>
      <w:r>
        <w:rPr/>
        <w:t xml:space="preserve">Dokumentacja architektoniczna przesłana przez Zamawiającego z dnia 1, 8 listopada 2024 roku,  </w:t>
      </w:r>
    </w:p>
    <w:p>
      <w:pPr>
        <w:pStyle w:val="Colozwyky1"/>
        <w:numPr>
          <w:ilvl w:val="0"/>
          <w:numId w:val="3"/>
        </w:numPr>
        <w:rPr/>
      </w:pPr>
      <w:r>
        <w:rPr/>
        <w:t>Karty techniczne projektowanych urządzeń określające poziomy hałasu generowane do środowiska i pomieszczenia,</w:t>
      </w:r>
    </w:p>
    <w:p>
      <w:pPr>
        <w:pStyle w:val="Colozwyky1"/>
        <w:numPr>
          <w:ilvl w:val="0"/>
          <w:numId w:val="3"/>
        </w:numPr>
        <w:rPr/>
      </w:pPr>
      <w:r>
        <w:rPr/>
        <w:t>PN-B-02151-2:2018-01 Akustyka budowlana – Ochrona przed hałasem w budynkach – Część 2: Wymagania dotyczące dopuszczalnego poziomu dźwięku w pomieszczeniach.</w:t>
      </w:r>
    </w:p>
    <w:p>
      <w:pPr>
        <w:pStyle w:val="Colozwyky1"/>
        <w:numPr>
          <w:ilvl w:val="0"/>
          <w:numId w:val="3"/>
        </w:numPr>
        <w:ind w:start="714" w:hanging="357"/>
        <w:rPr>
          <w:i/>
          <w:i/>
        </w:rPr>
      </w:pPr>
      <w:r>
        <w:rPr>
          <w:i/>
        </w:rPr>
        <w:t>PN-B-02151-3 – Akustyka budowlana – Ochrona przed hałasem w budynkach – Część 3: Wymagania dotyczące izolacyjności akustycznej przegród budowlanych w budynkach i elementów budowlanych,</w:t>
      </w:r>
    </w:p>
    <w:p>
      <w:pPr>
        <w:pStyle w:val="Colozwyky1"/>
        <w:numPr>
          <w:ilvl w:val="0"/>
          <w:numId w:val="3"/>
        </w:numPr>
        <w:ind w:start="714" w:hanging="357"/>
        <w:rPr>
          <w:i/>
          <w:i/>
        </w:rPr>
      </w:pPr>
      <w:r>
        <w:rPr>
          <w:i/>
        </w:rPr>
        <w:t>PN-B-02151-4 – Akustyka budowlana – Ochrona przed hałasem w budynkach – Część 4: Wymagania dotyczące warunków pogłosowych i zrozumiałości mowy w pomieszczeniach oraz wytyczne prowadzenia badań,</w:t>
      </w:r>
    </w:p>
    <w:p>
      <w:pPr>
        <w:pStyle w:val="Colozwyky1"/>
        <w:numPr>
          <w:ilvl w:val="0"/>
          <w:numId w:val="3"/>
        </w:numPr>
        <w:rPr>
          <w:b/>
          <w:b/>
        </w:rPr>
      </w:pPr>
      <w:r>
        <w:rPr/>
        <w:t>Rozporządzenie Ministra Środowiska w sprawie</w:t>
      </w:r>
      <w:r>
        <w:rPr>
          <w:i/>
        </w:rPr>
        <w:t xml:space="preserve"> dopuszczalnych poziomów hałasu w środowisku, </w:t>
      </w:r>
    </w:p>
    <w:p>
      <w:pPr>
        <w:pStyle w:val="Colozwyky1"/>
        <w:numPr>
          <w:ilvl w:val="0"/>
          <w:numId w:val="3"/>
        </w:numPr>
        <w:rPr/>
      </w:pPr>
      <w:r>
        <w:rPr/>
        <w:t>Literatura branżowa</w:t>
      </w:r>
    </w:p>
    <w:p>
      <w:pPr>
        <w:pStyle w:val="Colozwyky1"/>
        <w:ind w:start="360" w:hanging="0"/>
        <w:rPr/>
      </w:pPr>
      <w:r>
        <w:rPr/>
        <w:t>Dla inwestycji budowlanych, dla których przed dniem 01.08.2024 r. został złożony wniosek o pozwolenie na budowę lub została wydana decyzja o pozwoleniu na budowę, stosuje się normę PN-87/B-02151/02, w pozostałych przypadkach zastosowanie ma norma PN-B-02151-2:2018-01.</w:t>
      </w:r>
    </w:p>
    <w:p>
      <w:pPr>
        <w:pStyle w:val="Normal"/>
        <w:spacing w:lineRule="auto" w:line="259" w:before="0" w:after="160"/>
        <w:rPr>
          <w:rFonts w:ascii="Verdana" w:hAnsi="Verdana"/>
          <w:b/>
          <w:b/>
          <w:sz w:val="20"/>
          <w:szCs w:val="20"/>
          <w:lang w:eastAsia="ar-SA"/>
        </w:rPr>
      </w:pPr>
      <w:r>
        <w:rPr>
          <w:rFonts w:ascii="Verdana" w:hAnsi="Verdana"/>
          <w:b/>
          <w:sz w:val="20"/>
          <w:szCs w:val="20"/>
          <w:lang w:eastAsia="ar-SA"/>
        </w:rPr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agwek1"/>
        <w:rPr>
          <w:b/>
          <w:b/>
          <w:bCs/>
        </w:rPr>
      </w:pPr>
      <w:r>
        <w:rPr>
          <w:b/>
          <w:bCs/>
        </w:rPr>
      </w:r>
    </w:p>
    <w:p>
      <w:pPr>
        <w:pStyle w:val="Nagwek1"/>
        <w:rPr>
          <w:b/>
          <w:b/>
          <w:bCs/>
        </w:rPr>
      </w:pPr>
      <w:bookmarkStart w:id="11" w:name="_Toc182663381"/>
      <w:r>
        <w:rPr>
          <w:b/>
          <w:bCs/>
        </w:rPr>
        <w:t>HAŁAS ŚRODOWISKOWY</w:t>
      </w:r>
      <w:bookmarkEnd w:id="11"/>
    </w:p>
    <w:p>
      <w:pPr>
        <w:pStyle w:val="Normal"/>
        <w:rPr/>
      </w:pPr>
      <w:r>
        <w:rPr/>
      </w:r>
    </w:p>
    <w:p>
      <w:pPr>
        <w:pStyle w:val="Nagwek2"/>
        <w:ind w:start="576" w:hanging="576"/>
        <w:rPr/>
      </w:pPr>
      <w:bookmarkStart w:id="12" w:name="_Toc182663382"/>
      <w:bookmarkStart w:id="13" w:name="_Toc178018975"/>
      <w:r>
        <w:rPr/>
        <w:t>Sposób określenia miarodajnego poziomu hałasu</w:t>
      </w:r>
      <w:bookmarkEnd w:id="12"/>
      <w:bookmarkEnd w:id="13"/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Przy sporządzaniu niniejszego opracowania nie ustalono miarodajnego poziomu hałasu zewnętrznego, L</w:t>
      </w:r>
      <w:r>
        <w:rPr>
          <w:rFonts w:ascii="Verdana" w:hAnsi="Verdana"/>
          <w:sz w:val="20"/>
          <w:vertAlign w:val="subscript"/>
        </w:rPr>
        <w:t>Azew</w:t>
      </w:r>
      <w:r>
        <w:rPr>
          <w:rFonts w:ascii="Verdana" w:hAnsi="Verdana"/>
          <w:sz w:val="20"/>
        </w:rPr>
        <w:t>, uwzględniającego hałas pochodzący od źródeł zewnętrznych ze względu na brak zlecenia w tym zakresie.</w:t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agwek2"/>
        <w:ind w:start="576" w:hanging="576"/>
        <w:rPr/>
      </w:pPr>
      <w:bookmarkStart w:id="14" w:name="_Toc182663383"/>
      <w:r>
        <w:rPr/>
        <w:t>Zalecenia dotyczące emisji hałasu do środowiska</w:t>
      </w:r>
      <w:bookmarkEnd w:id="14"/>
      <w:r>
        <w:rPr/>
        <w:t xml:space="preserve"> </w:t>
      </w:r>
    </w:p>
    <w:p>
      <w:pPr>
        <w:pStyle w:val="Colozwyky1"/>
        <w:rPr/>
      </w:pPr>
      <w:r>
        <w:rPr/>
      </w:r>
    </w:p>
    <w:p>
      <w:pPr>
        <w:pStyle w:val="Colozwyky1"/>
        <w:rPr/>
      </w:pPr>
      <w:r>
        <w:rPr/>
        <w:t>Odnosząc się do normy PN-B-02151-2:2018-01 Akustyka budowlana – Ochrona przed hałasem w budynkach – Część 2: Wymagania dotyczące dopuszczalnego poziomu dźwięku w pomieszczeniach, normowe poziomy dźwięku A są zróżnicowane w zależności od rodzaju budynku i pomieszczenia chronionego. W naszym przypadku przedstawia się ono następująco:</w:t>
      </w:r>
    </w:p>
    <w:p>
      <w:pPr>
        <w:pStyle w:val="Normal"/>
        <w:jc w:val="center"/>
        <w:rPr>
          <w:rFonts w:ascii="Verdana" w:hAnsi="Verdana"/>
          <w:b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"/>
        <w:jc w:val="center"/>
        <w:rPr>
          <w:rFonts w:ascii="Verdana" w:hAnsi="Verdana"/>
          <w:b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Tabela 2</w:t>
      </w:r>
    </w:p>
    <w:p>
      <w:pPr>
        <w:pStyle w:val="Normal"/>
        <w:jc w:val="center"/>
        <w:rPr>
          <w:rFonts w:ascii="Verdana" w:hAnsi="Verdana"/>
          <w:b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tbl>
      <w:tblPr>
        <w:tblW w:w="9460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739"/>
        <w:gridCol w:w="1120"/>
        <w:gridCol w:w="1120"/>
        <w:gridCol w:w="1170"/>
        <w:gridCol w:w="1070"/>
        <w:gridCol w:w="1170"/>
        <w:gridCol w:w="1070"/>
      </w:tblGrid>
      <w:tr>
        <w:trPr>
          <w:trHeight w:val="1306" w:hRule="atLeast"/>
        </w:trPr>
        <w:tc>
          <w:tcPr>
            <w:tcW w:w="2739" w:type="dxa"/>
            <w:vMerge w:val="restart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Przeznaczenie pomieszczenia</w:t>
            </w:r>
          </w:p>
        </w:tc>
        <w:tc>
          <w:tcPr>
            <w:tcW w:w="2240" w:type="dxa"/>
            <w:gridSpan w:val="2"/>
            <w:vMerge w:val="restart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Dopuszczalny poziom dźwięku A hałasu przenikającego do pomieszczenia od wszystkich źródeł hałasu łącznie L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bscript"/>
              </w:rPr>
              <w:t>Aeq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, dB</w:t>
            </w:r>
          </w:p>
        </w:tc>
        <w:tc>
          <w:tcPr>
            <w:tcW w:w="4480" w:type="dxa"/>
            <w:gridSpan w:val="4"/>
            <w:tcBorders>
              <w:top w:val="single" w:sz="4" w:space="0" w:color="000000"/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Dopuszczalny poziom dźwięku A hałasu przenikającego do pomieszczenia od wyposażenia technicznego budynku oraz innych urządzeń w budynku i poza budynkiem</w:t>
            </w:r>
          </w:p>
        </w:tc>
      </w:tr>
      <w:tr>
        <w:trPr>
          <w:trHeight w:val="1977" w:hRule="atLeast"/>
        </w:trPr>
        <w:tc>
          <w:tcPr>
            <w:tcW w:w="2739" w:type="dxa"/>
            <w:vMerge w:val="continue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</w:r>
          </w:p>
        </w:tc>
        <w:tc>
          <w:tcPr>
            <w:tcW w:w="2240" w:type="dxa"/>
            <w:gridSpan w:val="2"/>
            <w:vMerge w:val="continue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</w:r>
          </w:p>
        </w:tc>
        <w:tc>
          <w:tcPr>
            <w:tcW w:w="2240" w:type="dxa"/>
            <w:gridSpan w:val="2"/>
            <w:tcBorders>
              <w:top w:val="single" w:sz="4" w:space="0" w:color="000000"/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Średni poziom dźwięku A (L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bscript"/>
              </w:rPr>
              <w:t>am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 xml:space="preserve">') - przy  hałasie ustalonym 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perscript"/>
              </w:rPr>
              <w:t>1)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 xml:space="preserve"> lub Równoważny poziom dźwięku A (L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bscript"/>
              </w:rPr>
              <w:t>aeq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 xml:space="preserve">) - przy hałasie nieustalonym 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perscript"/>
              </w:rPr>
              <w:t>2)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, dB</w:t>
            </w:r>
          </w:p>
        </w:tc>
        <w:tc>
          <w:tcPr>
            <w:tcW w:w="2240" w:type="dxa"/>
            <w:gridSpan w:val="2"/>
            <w:tcBorders>
              <w:top w:val="single" w:sz="4" w:space="0" w:color="000000"/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Maksymalny poziom dźwięku A (L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bscript"/>
              </w:rPr>
              <w:t>Amax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) - przy hałasie nieustalonym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2)</w:t>
            </w: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, dB</w:t>
            </w:r>
          </w:p>
        </w:tc>
      </w:tr>
      <w:tr>
        <w:trPr>
          <w:trHeight w:val="418" w:hRule="atLeast"/>
        </w:trPr>
        <w:tc>
          <w:tcPr>
            <w:tcW w:w="2739" w:type="dxa"/>
            <w:vMerge w:val="continue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</w:r>
          </w:p>
        </w:tc>
        <w:tc>
          <w:tcPr>
            <w:tcW w:w="112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w dzień</w:t>
            </w:r>
          </w:p>
        </w:tc>
        <w:tc>
          <w:tcPr>
            <w:tcW w:w="112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w nocy</w:t>
            </w:r>
          </w:p>
        </w:tc>
        <w:tc>
          <w:tcPr>
            <w:tcW w:w="117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w dzień</w:t>
            </w:r>
          </w:p>
        </w:tc>
        <w:tc>
          <w:tcPr>
            <w:tcW w:w="107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w nocy</w:t>
            </w:r>
          </w:p>
        </w:tc>
        <w:tc>
          <w:tcPr>
            <w:tcW w:w="117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 xml:space="preserve">w dzień </w:t>
            </w:r>
          </w:p>
        </w:tc>
        <w:tc>
          <w:tcPr>
            <w:tcW w:w="1070" w:type="dxa"/>
            <w:tcBorders>
              <w:bottom w:val="single" w:sz="4" w:space="0" w:color="000000"/>
              <w:end w:val="single" w:sz="4" w:space="0" w:color="000000"/>
            </w:tcBorders>
            <w:shd w:color="000000" w:fill="8FD97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w nocy</w:t>
            </w:r>
          </w:p>
        </w:tc>
      </w:tr>
      <w:tr>
        <w:trPr>
          <w:trHeight w:val="1395" w:hRule="atLeast"/>
        </w:trPr>
        <w:tc>
          <w:tcPr>
            <w:tcW w:w="2739" w:type="dxa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Klasy i pracownie szkolne (za wyjątkiem pracowni zajęć technicznych), sale wykładowe, audytoria</w:t>
            </w:r>
          </w:p>
        </w:tc>
        <w:tc>
          <w:tcPr>
            <w:tcW w:w="112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12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7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07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7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070" w:type="dxa"/>
            <w:tcBorders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 </w:t>
            </w:r>
          </w:p>
        </w:tc>
      </w:tr>
    </w:tbl>
    <w:p>
      <w:pPr>
        <w:pStyle w:val="Normal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Colozwyky1"/>
        <w:rPr>
          <w:sz w:val="16"/>
          <w:szCs w:val="16"/>
        </w:rPr>
      </w:pPr>
      <w:r>
        <w:rPr>
          <w:sz w:val="16"/>
          <w:szCs w:val="16"/>
          <w:vertAlign w:val="superscript"/>
        </w:rPr>
        <w:t>a </w:t>
      </w:r>
      <w:r>
        <w:rPr>
          <w:sz w:val="16"/>
          <w:szCs w:val="16"/>
        </w:rPr>
        <w:t>Jeżeli występuje hałas tonalny i/lub niskoczęstotliwościowy i/lub impulsowy, wartości najwyższego dopuszczalnego poziomu dźwięku A zmniejsza się o 5 dB.</w:t>
      </w:r>
    </w:p>
    <w:p>
      <w:pPr>
        <w:pStyle w:val="Colozwyky1"/>
        <w:rPr>
          <w:sz w:val="16"/>
          <w:szCs w:val="16"/>
        </w:rPr>
      </w:pPr>
      <w:r>
        <w:rPr>
          <w:sz w:val="16"/>
          <w:szCs w:val="16"/>
          <w:vertAlign w:val="superscript"/>
        </w:rPr>
        <w:t>b </w:t>
      </w:r>
      <w:r>
        <w:rPr>
          <w:sz w:val="16"/>
          <w:szCs w:val="16"/>
        </w:rPr>
        <w:t>W przypadku pokoi dziennych połączonych z kuchnią, w odniesieniu do hałasu występującego tylko w porze dziennej (6:00 – 22:00), dopuszcza się poziom większy o 5 dB.</w:t>
      </w:r>
    </w:p>
    <w:p>
      <w:pPr>
        <w:pStyle w:val="Colozwyky1"/>
        <w:rPr/>
      </w:pPr>
      <w:r>
        <w:rPr>
          <w:sz w:val="16"/>
          <w:szCs w:val="16"/>
          <w:vertAlign w:val="superscript"/>
        </w:rPr>
        <w:t>c </w:t>
      </w:r>
      <w:r>
        <w:rPr>
          <w:sz w:val="16"/>
          <w:szCs w:val="16"/>
        </w:rPr>
        <w:t>Dopuszcza się stosowanie dodatkowych dźwięków o indywidualnie dopasowanej wartości poziomu hałasu do maskowania transmisji dźwięków mowy w biurze wielkoprzestrzennym, z jednoczesnym zachowaniem wartości dopuszczalnych w pomieszczeniu przy wyłączonym hałasie maskującym</w:t>
      </w:r>
      <w:r>
        <w:rPr/>
        <w:t>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agwek2"/>
        <w:ind w:start="576" w:hanging="576"/>
        <w:rPr/>
      </w:pPr>
      <w:bookmarkStart w:id="15" w:name="_Toc182663384"/>
      <w:r>
        <w:rPr/>
        <w:t>Opis sytuacyjny inwestycji</w:t>
      </w:r>
      <w:bookmarkEnd w:id="15"/>
      <w:r>
        <w:rPr/>
        <w:t xml:space="preserve"> </w:t>
      </w:r>
    </w:p>
    <w:p>
      <w:pPr>
        <w:pStyle w:val="NoSpacing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Planowana inwestycja zlokalizowana jest na terenie prywatnym w istniejącym budynku szkoły podstawowej na działce nr 358 ob. Stary Gózd” w Gminie Stara Błotnica, Stara Błotnica 46, 26-806 Stara Błotnica. Od strony południowo - zachodniej planowana inwestycja sąsiaduje z drogą ekspresową S7, która jest głównym źródłem hałasu, dla którego należy rozpatrzeć planowana inwestycję.</w:t>
      </w:r>
    </w:p>
    <w:p>
      <w:pPr>
        <w:pStyle w:val="Colozwyky1"/>
        <w:rPr>
          <w:color w:val="FF0000"/>
        </w:rPr>
      </w:pPr>
      <w:r>
        <w:rPr>
          <w:color w:val="FF0000"/>
        </w:rPr>
      </w:r>
    </w:p>
    <w:p>
      <w:pPr>
        <w:pStyle w:val="Colozwyky1"/>
        <w:jc w:val="center"/>
        <w:rPr>
          <w:i/>
          <w:i/>
          <w:sz w:val="18"/>
          <w:szCs w:val="18"/>
        </w:rPr>
      </w:pPr>
      <w:r>
        <w:rPr>
          <w:i/>
          <w:sz w:val="18"/>
          <w:szCs w:val="18"/>
        </w:rPr>
        <w:t>Plan zagospodarowania terenu z lokalizacją analizowanego budynku.</w:t>
      </w:r>
    </w:p>
    <w:p>
      <w:pPr>
        <w:pStyle w:val="Colozwyky1"/>
        <w:jc w:val="center"/>
        <w:rPr>
          <w:i/>
          <w:i/>
          <w:sz w:val="18"/>
          <w:szCs w:val="18"/>
        </w:rPr>
      </w:pPr>
      <w:r>
        <w:rPr/>
        <w:drawing>
          <wp:inline distT="0" distB="0" distL="0" distR="0">
            <wp:extent cx="5885180" cy="3312795"/>
            <wp:effectExtent l="0" t="0" r="0" b="0"/>
            <wp:docPr id="2" name="Obraz2" descr="Obraz zawierający Fotografia lotnicza, Urbanistyka, lotnicze, na wolnym powietrzu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Obraz zawierający Fotografia lotnicza, Urbanistyka, lotnicze, na wolnym powietrzu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18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i/>
          <w:i/>
          <w:sz w:val="18"/>
          <w:szCs w:val="18"/>
        </w:rPr>
      </w:pPr>
      <w:r>
        <w:rPr>
          <w:i/>
          <w:sz w:val="18"/>
          <w:szCs w:val="18"/>
        </w:rPr>
        <w:t>Widok działki wraz z sąsiedztwem drogi ekspresowej S7.</w:t>
      </w:r>
    </w:p>
    <w:p>
      <w:pPr>
        <w:pStyle w:val="Colozwyky1"/>
        <w:rPr>
          <w:color w:val="FF0000"/>
        </w:rPr>
      </w:pPr>
      <w:r>
        <w:rPr>
          <w:color w:val="FF0000"/>
        </w:rPr>
      </w:r>
    </w:p>
    <w:p>
      <w:pPr>
        <w:pStyle w:val="Colozwyky1"/>
        <w:ind w:start="360" w:hanging="0"/>
        <w:rPr/>
      </w:pPr>
      <w:r>
        <w:rPr/>
        <w:drawing>
          <wp:inline distT="0" distB="0" distL="0" distR="0">
            <wp:extent cx="5295900" cy="4522470"/>
            <wp:effectExtent l="0" t="0" r="0" b="0"/>
            <wp:docPr id="3" name="Obraz3" descr="Obraz zawierający tekst, diagram, Plan, wykres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Obraz zawierający tekst, diagram, Plan, wykres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i/>
          <w:i/>
          <w:sz w:val="18"/>
          <w:szCs w:val="18"/>
        </w:rPr>
      </w:pPr>
      <w:r>
        <w:rPr>
          <w:i/>
          <w:sz w:val="18"/>
          <w:szCs w:val="18"/>
        </w:rPr>
        <w:t>Plan zagospodarowania terenu z lokalizacją analizowanego budynku.</w:t>
      </w:r>
    </w:p>
    <w:p>
      <w:pPr>
        <w:pStyle w:val="Colozwyky1"/>
        <w:rPr/>
      </w:pPr>
      <w:r>
        <w:rPr/>
        <w:t xml:space="preserve">  </w:t>
      </w:r>
    </w:p>
    <w:p>
      <w:pPr>
        <w:pStyle w:val="Colozwyky1"/>
        <w:rPr/>
      </w:pPr>
      <w:r>
        <w:rPr/>
        <w:drawing>
          <wp:anchor behindDoc="0" distT="0" distB="0" distL="0" distR="0" simplePos="0" locked="0" layoutInCell="0" allowOverlap="1" relativeHeight="29">
            <wp:simplePos x="0" y="0"/>
            <wp:positionH relativeFrom="column">
              <wp:posOffset>4390390</wp:posOffset>
            </wp:positionH>
            <wp:positionV relativeFrom="paragraph">
              <wp:posOffset>2555240</wp:posOffset>
            </wp:positionV>
            <wp:extent cx="1726565" cy="862965"/>
            <wp:effectExtent l="0" t="0" r="0" b="0"/>
            <wp:wrapNone/>
            <wp:docPr id="4" name="Obraz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4" descr="" titl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565" cy="86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6120130" cy="3421380"/>
            <wp:effectExtent l="0" t="0" r="0" b="0"/>
            <wp:docPr id="5" name="Obraz5" descr="Obraz zawierający mapa, tekst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5" descr="Obraz zawierający mapa, tekst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2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i/>
          <w:i/>
          <w:sz w:val="18"/>
          <w:szCs w:val="18"/>
        </w:rPr>
      </w:pPr>
      <w:r>
        <w:rPr>
          <w:i/>
          <w:sz w:val="18"/>
          <w:szCs w:val="18"/>
        </w:rPr>
        <w:t>Mapa rozkładu poziomów LDWN na analizowanej działce.</w:t>
      </w:r>
    </w:p>
    <w:p>
      <w:pPr>
        <w:pStyle w:val="Normal"/>
        <w:spacing w:before="0" w:after="240"/>
        <w:jc w:val="both"/>
        <w:rPr>
          <w:rFonts w:ascii="Verdana" w:hAnsi="Verdana"/>
          <w:i/>
          <w:i/>
          <w:iCs/>
          <w:sz w:val="20"/>
        </w:rPr>
      </w:pPr>
      <w:r>
        <w:rPr>
          <w:rFonts w:ascii="Verdana" w:hAnsi="Verdana"/>
          <w:i/>
          <w:iCs/>
          <w:sz w:val="20"/>
        </w:rPr>
      </w:r>
    </w:p>
    <w:p>
      <w:pPr>
        <w:pStyle w:val="Nagwek2"/>
        <w:ind w:start="576" w:hanging="576"/>
        <w:rPr>
          <w:bCs/>
          <w:color w:val="002060"/>
        </w:rPr>
      </w:pPr>
      <w:bookmarkStart w:id="16" w:name="_Toc115449882"/>
      <w:bookmarkStart w:id="17" w:name="_Toc472070472"/>
      <w:bookmarkStart w:id="18" w:name="_Toc381101670"/>
      <w:bookmarkStart w:id="19" w:name="_Toc182663385"/>
      <w:bookmarkEnd w:id="16"/>
      <w:bookmarkEnd w:id="17"/>
      <w:bookmarkEnd w:id="18"/>
      <w:r>
        <w:rPr>
          <w:color w:val="002060"/>
        </w:rPr>
        <w:t>WYMAGANIA AKUSTYCZNE</w:t>
      </w:r>
      <w:bookmarkEnd w:id="19"/>
    </w:p>
    <w:p>
      <w:pPr>
        <w:pStyle w:val="Normal"/>
        <w:rPr/>
      </w:pPr>
      <w:r>
        <w:rPr/>
      </w:r>
    </w:p>
    <w:p>
      <w:pPr>
        <w:pStyle w:val="Nagwek2"/>
        <w:ind w:start="576" w:hanging="576"/>
        <w:rPr/>
      </w:pPr>
      <w:bookmarkStart w:id="20" w:name="_Toc10205907"/>
      <w:bookmarkStart w:id="21" w:name="_Toc472070481"/>
      <w:bookmarkStart w:id="22" w:name="_Toc350951029"/>
      <w:bookmarkStart w:id="23" w:name="_Toc182663386"/>
      <w:bookmarkStart w:id="24" w:name="_Toc176372511"/>
      <w:bookmarkStart w:id="25" w:name="_Toc118098247"/>
      <w:bookmarkStart w:id="26" w:name="_Toc31876343"/>
      <w:bookmarkStart w:id="27" w:name="_Toc27468268"/>
      <w:bookmarkEnd w:id="20"/>
      <w:bookmarkEnd w:id="21"/>
      <w:bookmarkEnd w:id="22"/>
      <w:r>
        <w:rPr/>
        <w:t xml:space="preserve">5.1 Zalecenia dotyczące izolacyjności przegród </w:t>
      </w:r>
      <w:bookmarkEnd w:id="26"/>
      <w:bookmarkEnd w:id="27"/>
      <w:r>
        <w:rPr/>
        <w:t>zewnętrznych</w:t>
      </w:r>
      <w:bookmarkEnd w:id="23"/>
      <w:bookmarkEnd w:id="24"/>
      <w:bookmarkEnd w:id="25"/>
    </w:p>
    <w:p>
      <w:pPr>
        <w:pStyle w:val="Colozwyky1"/>
        <w:spacing w:before="0" w:after="0"/>
        <w:rPr/>
      </w:pPr>
      <w:r>
        <w:rPr/>
        <w:t>Dla umożliwienia komfortowego użytkowania z sali sportowej i przyległych do niej pomieszczeń przeznaczonych na pobyt stały ludzi projektuje się poniższe przegrody.</w:t>
      </w:r>
    </w:p>
    <w:p>
      <w:pPr>
        <w:pStyle w:val="Colozwyky1"/>
        <w:spacing w:before="0" w:after="0"/>
        <w:rPr/>
      </w:pPr>
      <w:r>
        <w:rPr/>
      </w:r>
    </w:p>
    <w:p>
      <w:pPr>
        <w:pStyle w:val="Colozwyky1"/>
        <w:spacing w:before="0" w:after="0"/>
        <w:rPr/>
      </w:pPr>
      <w:r>
        <w:rPr/>
        <w:t>Ściany, okna od strony południowej i zachodniej powinny charakteryzować się wskaźnikiem izolacyjności akustycznej na poziomie nie niższym jak podano w tabeli poniżej.</w:t>
      </w:r>
    </w:p>
    <w:p>
      <w:pPr>
        <w:pStyle w:val="Colozwyky1"/>
        <w:spacing w:before="0" w:after="0"/>
        <w:rPr>
          <w:color w:val="FF0000"/>
        </w:rPr>
      </w:pPr>
      <w:r>
        <w:rPr>
          <w:color w:val="FF0000"/>
        </w:rPr>
      </w:r>
    </w:p>
    <w:p>
      <w:pPr>
        <w:pStyle w:val="Colozwyky1"/>
        <w:spacing w:before="0" w:after="0"/>
        <w:rPr/>
      </w:pPr>
      <w:r>
        <w:rPr/>
      </w:r>
    </w:p>
    <w:p>
      <w:pPr>
        <w:pStyle w:val="Normal"/>
        <w:jc w:val="both"/>
        <w:rPr>
          <w:rFonts w:ascii="Verdana" w:hAnsi="Verdana" w:cs="Arial"/>
          <w:i/>
          <w:i/>
          <w:iCs/>
          <w:color w:val="000000"/>
          <w:sz w:val="18"/>
          <w:szCs w:val="18"/>
        </w:rPr>
      </w:pPr>
      <w:r>
        <w:rPr>
          <w:rFonts w:cs="Arial" w:ascii="Verdana" w:hAnsi="Verdana"/>
          <w:i/>
          <w:iCs/>
          <w:color w:val="000000"/>
          <w:sz w:val="18"/>
          <w:szCs w:val="18"/>
        </w:rPr>
        <w:t>Tabela 2. Zalecane wskaźniki izolacyjności akustycznej przegród</w:t>
      </w:r>
    </w:p>
    <w:tbl>
      <w:tblPr>
        <w:tblStyle w:val="Tabela-Siatka"/>
        <w:tblW w:w="9493" w:type="dxa"/>
        <w:jc w:val="start"/>
        <w:tblInd w:w="66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firstRow="1" w:noVBand="1" w:lastRow="0" w:firstColumn="1" w:lastColumn="0" w:noHBand="0"/>
      </w:tblPr>
      <w:tblGrid>
        <w:gridCol w:w="2729"/>
        <w:gridCol w:w="2728"/>
        <w:gridCol w:w="4036"/>
      </w:tblGrid>
      <w:tr>
        <w:trPr>
          <w:trHeight w:val="73" w:hRule="atLeast"/>
        </w:trPr>
        <w:tc>
          <w:tcPr>
            <w:tcW w:w="5457" w:type="dxa"/>
            <w:gridSpan w:val="2"/>
            <w:tcBorders/>
            <w:shd w:color="auto" w:fill="BFBFBF" w:themeFill="background1" w:themeFillShade="bf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 w:cs="" w:cstheme="minorBidi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Funkcja pomieszczeń rozdzielonych przegrodą</w:t>
            </w:r>
          </w:p>
        </w:tc>
        <w:tc>
          <w:tcPr>
            <w:tcW w:w="4036" w:type="dxa"/>
            <w:tcBorders/>
            <w:shd w:color="auto" w:fill="BFBFBF" w:themeFill="background1" w:themeFillShade="bf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Wskaźnik izolacyjności [dB]</w:t>
            </w:r>
          </w:p>
        </w:tc>
      </w:tr>
      <w:tr>
        <w:trPr>
          <w:trHeight w:val="214" w:hRule="atLeast"/>
        </w:trPr>
        <w:tc>
          <w:tcPr>
            <w:tcW w:w="2729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Sala sportowa</w:t>
            </w:r>
          </w:p>
        </w:tc>
        <w:tc>
          <w:tcPr>
            <w:tcW w:w="2728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Ściana zewnętrzna</w:t>
            </w:r>
          </w:p>
        </w:tc>
        <w:tc>
          <w:tcPr>
            <w:tcW w:w="4036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R’A2 min 30</w:t>
            </w:r>
          </w:p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</w:r>
          </w:p>
        </w:tc>
      </w:tr>
      <w:tr>
        <w:trPr>
          <w:trHeight w:val="214" w:hRule="atLeast"/>
        </w:trPr>
        <w:tc>
          <w:tcPr>
            <w:tcW w:w="2729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</w:r>
          </w:p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Sala sportowa</w:t>
            </w:r>
          </w:p>
        </w:tc>
        <w:tc>
          <w:tcPr>
            <w:tcW w:w="2728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okna</w:t>
            </w:r>
          </w:p>
        </w:tc>
        <w:tc>
          <w:tcPr>
            <w:tcW w:w="4036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R’A2 min 30</w:t>
            </w:r>
          </w:p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</w:r>
          </w:p>
        </w:tc>
      </w:tr>
      <w:tr>
        <w:trPr>
          <w:trHeight w:val="492" w:hRule="atLeast"/>
        </w:trPr>
        <w:tc>
          <w:tcPr>
            <w:tcW w:w="2729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Korytarze i sala sportowa</w:t>
            </w:r>
          </w:p>
        </w:tc>
        <w:tc>
          <w:tcPr>
            <w:tcW w:w="2728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Drzwi zewnętrzne</w:t>
            </w:r>
          </w:p>
        </w:tc>
        <w:tc>
          <w:tcPr>
            <w:tcW w:w="4036" w:type="dxa"/>
            <w:tcBorders/>
            <w:shd w:color="auto" w:fill="auto" w:val="clear"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  <w:t>R’A2 min 30</w:t>
            </w:r>
          </w:p>
          <w:p>
            <w:pPr>
              <w:pStyle w:val="Normal"/>
              <w:widowControl/>
              <w:spacing w:before="0" w:after="0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kern w:val="0"/>
                <w:sz w:val="20"/>
                <w:szCs w:val="20"/>
                <w:lang w:val="pl-PL" w:bidi="ar-SA"/>
              </w:rPr>
            </w:r>
          </w:p>
        </w:tc>
      </w:tr>
    </w:tbl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b/>
          <w:sz w:val="20"/>
        </w:rPr>
        <w:t>Uwaga:</w:t>
      </w:r>
      <w:r>
        <w:rPr>
          <w:rFonts w:ascii="Verdana" w:hAnsi="Verdana"/>
          <w:sz w:val="20"/>
        </w:rPr>
        <w:t xml:space="preserve"> opisywany wskaźnik izolacyjności akustycznej musi zostać osiągnięty z uwzględnieniem przenoszenia bocznego. Po osadzeniu okien należy przeprowadzić badania akustyczne potwierdzające osiągnięcie zakładanego współczynnika izolacyjności akustycznej.</w:t>
      </w:r>
    </w:p>
    <w:p>
      <w:pPr>
        <w:pStyle w:val="Normal"/>
        <w:spacing w:before="0" w:after="240"/>
        <w:jc w:val="both"/>
        <w:rPr>
          <w:rFonts w:ascii="Verdana" w:hAnsi="Verdana"/>
          <w:b/>
          <w:b/>
          <w:sz w:val="20"/>
          <w:szCs w:val="20"/>
          <w:lang w:eastAsia="ar-SA"/>
        </w:rPr>
      </w:pPr>
      <w:r>
        <w:rPr>
          <w:rFonts w:ascii="Verdana" w:hAnsi="Verdana"/>
          <w:b/>
          <w:sz w:val="20"/>
          <w:szCs w:val="20"/>
          <w:lang w:eastAsia="ar-SA"/>
        </w:rPr>
      </w:r>
      <w:bookmarkStart w:id="28" w:name="_Toc10205907"/>
      <w:bookmarkStart w:id="29" w:name="_Toc472070481"/>
      <w:bookmarkStart w:id="30" w:name="_Toc350951029"/>
      <w:bookmarkStart w:id="31" w:name="_Toc77929478"/>
      <w:bookmarkStart w:id="32" w:name="_Toc10205907"/>
      <w:bookmarkStart w:id="33" w:name="_Toc472070481"/>
      <w:bookmarkStart w:id="34" w:name="_Toc350951029"/>
      <w:bookmarkStart w:id="35" w:name="_Toc77929478"/>
      <w:bookmarkEnd w:id="32"/>
      <w:bookmarkEnd w:id="33"/>
      <w:bookmarkEnd w:id="34"/>
      <w:bookmarkEnd w:id="35"/>
      <w:r>
        <w:br w:type="page"/>
      </w:r>
    </w:p>
    <w:p>
      <w:pPr>
        <w:pStyle w:val="Nagwek2"/>
        <w:ind w:start="576" w:hanging="576"/>
        <w:rPr>
          <w:rStyle w:val="ColonagowekZnak"/>
          <w:b/>
          <w:b/>
          <w:color w:val="002060"/>
        </w:rPr>
      </w:pPr>
      <w:bookmarkStart w:id="36" w:name="_Toc182663387"/>
      <w:r>
        <w:rPr>
          <w:rStyle w:val="ColonagowekZnak"/>
          <w:b/>
          <w:color w:val="002060"/>
        </w:rPr>
        <w:t>AKUSTYKA WNĘTRZ – PARAMETRY</w:t>
      </w:r>
      <w:bookmarkEnd w:id="36"/>
    </w:p>
    <w:p>
      <w:pPr>
        <w:pStyle w:val="Nagwek2"/>
        <w:ind w:start="0" w:hanging="0"/>
        <w:rPr/>
      </w:pPr>
      <w:bookmarkStart w:id="37" w:name="_Toc182663388"/>
      <w:bookmarkStart w:id="38" w:name="_Toc176372515"/>
      <w:bookmarkStart w:id="39" w:name="_Toc118098252"/>
      <w:r>
        <w:rPr/>
        <w:t>Charakterystyka czasu pogłosu - RT</w:t>
      </w:r>
      <w:bookmarkEnd w:id="37"/>
      <w:bookmarkEnd w:id="38"/>
      <w:bookmarkEnd w:id="39"/>
    </w:p>
    <w:p>
      <w:pPr>
        <w:pStyle w:val="Normal"/>
        <w:spacing w:before="0" w:after="120"/>
        <w:jc w:val="both"/>
        <w:rPr>
          <w:rFonts w:ascii="Verdana" w:hAnsi="Verdana" w:cs="Verdana"/>
          <w:sz w:val="20"/>
        </w:rPr>
      </w:pPr>
      <w:r>
        <w:rPr>
          <w:rFonts w:cs="Verdana" w:ascii="Verdana" w:hAnsi="Verdana"/>
          <w:b/>
          <w:sz w:val="20"/>
        </w:rPr>
        <w:t>Czas pogłosu</w:t>
      </w:r>
      <w:r>
        <w:rPr/>
        <w:t xml:space="preserve"> </w:t>
      </w:r>
      <w:r>
        <w:rPr>
          <w:rFonts w:cs="Verdana" w:ascii="Verdana" w:hAnsi="Verdana"/>
          <w:sz w:val="20"/>
          <w:szCs w:val="20"/>
        </w:rPr>
        <w:t xml:space="preserve">(ang. </w:t>
      </w:r>
      <w:r>
        <w:rPr>
          <w:rStyle w:val="Wyrnienie"/>
          <w:rFonts w:cs="Verdana" w:ascii="Verdana" w:hAnsi="Verdana"/>
          <w:sz w:val="20"/>
          <w:szCs w:val="20"/>
        </w:rPr>
        <w:t>Reverberation Time)</w:t>
      </w:r>
      <w:r>
        <w:rPr>
          <w:rFonts w:cs="Verdana" w:ascii="Verdana" w:hAnsi="Verdana"/>
          <w:sz w:val="20"/>
        </w:rPr>
        <w:t xml:space="preserve"> jest istotnym parametrem, określającym jakość akustyki wnętrz. Definiowany jako czas, wyrażony w sekundach, w którym poziom dźwięku spada odpowiednio o 60, 30, 20 lub 10 dB od momentu wyłączenia źródła dźwięku, gdy w pomieszczeniu panował stan ustalony. Parametr ten wpływa na zrozumiałość mowy, brzmienie muzyki oraz poziom ciśnienia docierający do słuchaczy. Wartości RT uzależnione są od rodzaju zastosowanych materiałów, kształtu powierzchni w pomieszczeniu, stopnia wypełnienia publicznością oraz warunków atmosferycznych. Temperatura i wilgotność mają jednak zdecydowanie mniejszy wpływ niż pozostałem czynniki. Istnieją zalecane wartości czasu pogłosu, jakie powinny panować w pomieszczeniach przeznaczonych dla muzyki i form słownych w funkcji objętości. Powyżej opisane zależności można wyrazić wzorem:</w:t>
      </w:r>
    </w:p>
    <w:p>
      <w:pPr>
        <w:pStyle w:val="Normal"/>
        <w:spacing w:before="0" w:after="120"/>
        <w:jc w:val="both"/>
        <w:rPr/>
      </w:pPr>
      <w:r>
        <w:rPr/>
      </w:r>
    </w:p>
    <w:p>
      <w:pPr>
        <w:pStyle w:val="Normal"/>
        <w:spacing w:before="0" w:after="120"/>
        <w:jc w:val="center"/>
        <w:rPr>
          <w:rFonts w:ascii="Verdana" w:hAnsi="Verdana" w:cs="Verdana"/>
          <w:i/>
          <w:i/>
        </w:rPr>
      </w:pPr>
      <w:r>
        <w:rPr/>
      </w:r>
      <m:oMathPara xmlns:m="http://schemas.openxmlformats.org/officeDocument/2006/math">
        <m:oMathParaPr>
          <m:jc m:val="center"/>
        </m:oMathParaPr>
        <m:oMath>
          <m:r>
            <m:t xml:space="preserve">T</m:t>
          </m:r>
          <m:r>
            <m:t xml:space="preserve">=</m:t>
          </m:r>
          <m:f>
            <m:num>
              <m:r>
                <m:t xml:space="preserve">0.161</m:t>
              </m:r>
              <m:r>
                <m:t xml:space="preserve">V</m:t>
              </m:r>
            </m:num>
            <m:den>
              <m:r>
                <m:t xml:space="preserve">−</m:t>
              </m:r>
              <m:r>
                <m:t xml:space="preserve">Sln</m:t>
              </m:r>
              <m:d>
                <m:dPr>
                  <m:begChr m:val="("/>
                  <m:endChr m:val=")"/>
                </m:dPr>
                <m:e>
                  <m:r>
                    <m:t xml:space="preserve">1</m:t>
                  </m:r>
                  <m:r>
                    <m:t xml:space="preserve">−</m:t>
                  </m:r>
                  <m:sSub>
                    <m:e>
                      <m:r>
                        <m:t xml:space="preserve">α</m:t>
                      </m:r>
                    </m:e>
                    <m:sub>
                      <m:r>
                        <m:t xml:space="preserve">śr</m:t>
                      </m:r>
                    </m:sub>
                  </m:sSub>
                </m:e>
              </m:d>
              <m:r>
                <m:t xml:space="preserve">+</m:t>
              </m:r>
              <m:r>
                <m:t xml:space="preserve">A</m:t>
              </m:r>
              <m:r>
                <m:t xml:space="preserve">+</m:t>
              </m:r>
              <m:r>
                <m:t xml:space="preserve">4</m:t>
              </m:r>
              <m:r>
                <m:t xml:space="preserve">mV</m:t>
              </m:r>
            </m:den>
          </m:f>
        </m:oMath>
      </m:oMathPara>
    </w:p>
    <w:p>
      <w:pPr>
        <w:pStyle w:val="Normal"/>
        <w:spacing w:before="0" w:after="120"/>
        <w:jc w:val="both"/>
        <w:rPr>
          <w:rFonts w:ascii="Verdana" w:hAnsi="Verdana" w:cs="Verdana"/>
          <w:i/>
          <w:i/>
          <w:sz w:val="20"/>
        </w:rPr>
      </w:pPr>
      <w:r>
        <w:rPr>
          <w:rFonts w:cs="Verdana" w:ascii="Verdana" w:hAnsi="Verdana"/>
          <w:i/>
          <w:sz w:val="20"/>
        </w:rPr>
        <w:t>V</w:t>
      </w:r>
      <w:r>
        <w:rPr>
          <w:rFonts w:cs="Verdana" w:ascii="Verdana" w:hAnsi="Verdana"/>
          <w:sz w:val="20"/>
        </w:rPr>
        <w:t xml:space="preserve"> – kubatura pomieszczenia,</w:t>
      </w:r>
    </w:p>
    <w:p>
      <w:pPr>
        <w:pStyle w:val="Normal"/>
        <w:spacing w:before="0" w:after="120"/>
        <w:jc w:val="both"/>
        <w:rPr/>
      </w:pPr>
      <w:r>
        <w:rPr>
          <w:rFonts w:cs="Verdana" w:ascii="Verdana" w:hAnsi="Verdana"/>
          <w:i/>
          <w:sz w:val="20"/>
        </w:rPr>
        <w:t>S</w:t>
      </w:r>
      <w:r>
        <w:rPr>
          <w:rFonts w:cs="Verdana" w:ascii="Verdana" w:hAnsi="Verdana"/>
          <w:sz w:val="20"/>
        </w:rPr>
        <w:t xml:space="preserve"> – powierzchnia </w:t>
      </w:r>
    </w:p>
    <w:p>
      <w:pPr>
        <w:pStyle w:val="Normal"/>
        <w:spacing w:before="0" w:after="120"/>
        <w:jc w:val="both"/>
        <w:rPr>
          <w:rFonts w:ascii="Verdana" w:hAnsi="Verdana" w:cs="Verdana"/>
          <w:sz w:val="20"/>
          <w:szCs w:val="20"/>
        </w:rPr>
      </w:pPr>
      <w:r>
        <w:rPr/>
      </w:r>
      <m:oMath xmlns:m="http://schemas.openxmlformats.org/officeDocument/2006/math">
        <m:sSub>
          <m:e>
            <m:r>
              <m:t xml:space="preserve">α</m:t>
            </m:r>
          </m:e>
          <m:sub>
            <m:r>
              <m:t xml:space="preserve">śr</m:t>
            </m:r>
          </m:sub>
        </m:sSub>
      </m:oMath>
      <w:r>
        <w:rPr>
          <w:rFonts w:cs="Verdana" w:ascii="Verdana" w:hAnsi="Verdana"/>
          <w:sz w:val="20"/>
          <w:szCs w:val="20"/>
        </w:rPr>
        <w:t xml:space="preserve"> – </w:t>
      </w:r>
      <w:r>
        <w:rPr>
          <w:rFonts w:cs="Verdana" w:ascii="Verdana" w:hAnsi="Verdana"/>
          <w:sz w:val="20"/>
          <w:szCs w:val="20"/>
        </w:rPr>
        <w:t xml:space="preserve">średnia ważona współczynników pochłaniania dźwięku </w:t>
      </w:r>
      <w:r>
        <w:rPr/>
      </w:r>
      <m:oMath xmlns:m="http://schemas.openxmlformats.org/officeDocument/2006/math">
        <m:sSub>
          <m:e>
            <m:r>
              <m:t xml:space="preserve">α</m:t>
            </m:r>
          </m:e>
          <m:sub>
            <m:r>
              <m:t xml:space="preserve">śr</m:t>
            </m:r>
          </m:sub>
        </m:sSub>
      </m:oMath>
      <w:r>
        <w:rPr>
          <w:rFonts w:cs="Verdana" w:ascii="Verdana" w:hAnsi="Verdana"/>
          <w:sz w:val="20"/>
          <w:szCs w:val="20"/>
        </w:rPr>
        <w:t xml:space="preserve"> ścian o polach powierzchni </w:t>
      </w:r>
      <w:r>
        <w:rPr>
          <w:rFonts w:cs="Verdana" w:ascii="Verdana" w:hAnsi="Verdana"/>
          <w:i/>
          <w:sz w:val="20"/>
          <w:szCs w:val="20"/>
        </w:rPr>
        <w:t>S</w:t>
      </w:r>
      <w:r>
        <w:rPr>
          <w:rFonts w:cs="Verdana" w:ascii="Verdana" w:hAnsi="Verdana"/>
          <w:i/>
          <w:sz w:val="20"/>
          <w:szCs w:val="20"/>
          <w:vertAlign w:val="subscript"/>
        </w:rPr>
        <w:t>i</w:t>
      </w:r>
      <w:r>
        <w:rPr>
          <w:rFonts w:cs="Verdana" w:ascii="Verdana" w:hAnsi="Verdana"/>
          <w:sz w:val="20"/>
          <w:szCs w:val="20"/>
        </w:rPr>
        <w:t>:</w:t>
      </w:r>
    </w:p>
    <w:p>
      <w:pPr>
        <w:pStyle w:val="Normal"/>
        <w:spacing w:before="0" w:after="120"/>
        <w:jc w:val="both"/>
        <w:rPr/>
      </w:pPr>
      <w:r>
        <w:rPr/>
      </w:r>
    </w:p>
    <w:p>
      <w:pPr>
        <w:pStyle w:val="Normal"/>
        <w:spacing w:before="0" w:after="120"/>
        <w:jc w:val="center"/>
        <w:rPr>
          <w:rFonts w:ascii="Verdana" w:hAnsi="Verdana" w:cs="Verdana"/>
          <w:i/>
          <w:i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m:t xml:space="preserve">α</m:t>
              </m:r>
            </m:e>
            <m:sub>
              <m:r>
                <m:t xml:space="preserve">śr</m:t>
              </m:r>
            </m:sub>
          </m:sSub>
          <m:r>
            <m:t xml:space="preserve">=</m:t>
          </m:r>
          <m:f>
            <m:num>
              <m:nary>
                <m:naryPr>
                  <m:chr m:val="∑"/>
                  <m:subHide m:val="1"/>
                  <m:supHide m:val="1"/>
                </m:naryPr>
                <m:sub/>
                <m:sup/>
                <m:e>
                  <m:sSub>
                    <m:e>
                      <m:r>
                        <m:t xml:space="preserve">α</m:t>
                      </m:r>
                    </m:e>
                    <m:sub>
                      <m:r>
                        <m:t xml:space="preserve">i</m:t>
                      </m:r>
                    </m:sub>
                  </m:sSub>
                  <m:sSub>
                    <m:e>
                      <m:r>
                        <m:t xml:space="preserve">S</m:t>
                      </m:r>
                    </m:e>
                    <m:sub>
                      <m:r>
                        <m:t xml:space="preserve"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subHide m:val="1"/>
                  <m:supHide m:val="1"/>
                </m:naryPr>
                <m:sub/>
                <m:sup/>
                <m:e>
                  <m:sSub>
                    <m:e>
                      <m:r>
                        <m:t xml:space="preserve">S</m:t>
                      </m:r>
                    </m:e>
                    <m:sub>
                      <m:r>
                        <m:t xml:space="preserve">i</m:t>
                      </m:r>
                    </m:sub>
                  </m:sSub>
                </m:e>
              </m:nary>
            </m:den>
          </m:f>
        </m:oMath>
      </m:oMathPara>
    </w:p>
    <w:p>
      <w:pPr>
        <w:pStyle w:val="Normal"/>
        <w:spacing w:before="0" w:after="120"/>
        <w:jc w:val="both"/>
        <w:rPr/>
      </w:pPr>
      <w:r>
        <w:rPr>
          <w:rFonts w:cs="Verdana" w:ascii="Verdana" w:hAnsi="Verdana"/>
          <w:i/>
          <w:sz w:val="20"/>
        </w:rPr>
        <w:t>A</w:t>
      </w:r>
      <w:r>
        <w:rPr>
          <w:rFonts w:cs="Verdana" w:ascii="Verdana" w:hAnsi="Verdana"/>
          <w:sz w:val="20"/>
        </w:rPr>
        <w:t xml:space="preserve"> – chłonność akustyczna obiektów znajdujących się w pomieszczeniu</w:t>
      </w:r>
    </w:p>
    <w:p>
      <w:pPr>
        <w:pStyle w:val="Normal"/>
        <w:spacing w:before="0" w:after="120"/>
        <w:jc w:val="center"/>
        <w:rPr>
          <w:rFonts w:ascii="Verdana" w:hAnsi="Verdana" w:cs="Verdana"/>
          <w:i/>
          <w:i/>
        </w:rPr>
      </w:pPr>
      <w:r>
        <w:rPr/>
      </w:r>
      <m:oMathPara xmlns:m="http://schemas.openxmlformats.org/officeDocument/2006/math">
        <m:oMathParaPr>
          <m:jc m:val="center"/>
        </m:oMathParaPr>
        <m:oMath>
          <m:r>
            <m:t xml:space="preserve">A</m:t>
          </m:r>
          <m:r>
            <m:t xml:space="preserve">=</m:t>
          </m:r>
          <m:nary>
            <m:naryPr>
              <m:chr m:val="∑"/>
            </m:naryPr>
            <m:sub>
              <m:r>
                <m:t xml:space="preserve">j</m:t>
              </m:r>
              <m:r>
                <m:t xml:space="preserve">=</m:t>
              </m:r>
              <m:r>
                <m:t xml:space="preserve">1</m:t>
              </m:r>
            </m:sub>
            <m:sup>
              <m:r>
                <m:t xml:space="preserve">j</m:t>
              </m:r>
            </m:sup>
            <m:e>
              <m:sSub>
                <m:e>
                  <m:r>
                    <m:t xml:space="preserve">A</m:t>
                  </m:r>
                </m:e>
                <m:sub>
                  <m:r>
                    <m:t xml:space="preserve">j</m:t>
                  </m:r>
                </m:sub>
              </m:sSub>
            </m:e>
          </m:nary>
        </m:oMath>
      </m:oMathPara>
    </w:p>
    <w:p>
      <w:pPr>
        <w:pStyle w:val="Normal"/>
        <w:spacing w:before="0" w:after="120"/>
        <w:jc w:val="center"/>
        <w:rPr>
          <w:rFonts w:ascii="Verdana" w:hAnsi="Verdana" w:cs="Verdana"/>
          <w:i/>
          <w:i/>
        </w:rPr>
      </w:pPr>
      <w:r>
        <w:rPr>
          <w:rFonts w:cs="Verdana" w:ascii="Verdana" w:hAnsi="Verdana"/>
          <w:i/>
        </w:rPr>
      </w:r>
    </w:p>
    <w:p>
      <w:pPr>
        <w:pStyle w:val="Normal"/>
        <w:spacing w:before="0" w:after="120"/>
        <w:jc w:val="both"/>
        <w:rPr>
          <w:rFonts w:ascii="Verdana" w:hAnsi="Verdana" w:cs="Verdana"/>
          <w:i/>
          <w:i/>
          <w:sz w:val="20"/>
        </w:rPr>
      </w:pPr>
      <w:r>
        <w:rPr>
          <w:rFonts w:cs="Verdana" w:ascii="Verdana" w:hAnsi="Verdana"/>
          <w:i/>
          <w:sz w:val="20"/>
        </w:rPr>
        <w:t>A</w:t>
      </w:r>
      <w:r>
        <w:rPr>
          <w:rFonts w:cs="Verdana" w:ascii="Verdana" w:hAnsi="Verdana"/>
          <w:i/>
          <w:sz w:val="20"/>
          <w:vertAlign w:val="subscript"/>
        </w:rPr>
        <w:t>j</w:t>
      </w:r>
      <w:r>
        <w:rPr>
          <w:rFonts w:cs="Verdana" w:ascii="Verdana" w:hAnsi="Verdana"/>
          <w:sz w:val="20"/>
        </w:rPr>
        <w:t xml:space="preserve"> – chłonność akustyczna pojedynczego obiektu,</w:t>
      </w:r>
    </w:p>
    <w:p>
      <w:pPr>
        <w:pStyle w:val="Normal"/>
        <w:spacing w:before="0" w:after="120"/>
        <w:jc w:val="both"/>
        <w:rPr>
          <w:rFonts w:ascii="Verdana" w:hAnsi="Verdana" w:cs="Verdana"/>
          <w:i/>
          <w:i/>
          <w:sz w:val="20"/>
        </w:rPr>
      </w:pPr>
      <w:r>
        <w:rPr>
          <w:rFonts w:cs="Verdana" w:ascii="Verdana" w:hAnsi="Verdana"/>
          <w:i/>
          <w:sz w:val="20"/>
        </w:rPr>
        <w:t>J</w:t>
      </w:r>
      <w:r>
        <w:rPr>
          <w:rFonts w:cs="Verdana" w:ascii="Verdana" w:hAnsi="Verdana"/>
          <w:sz w:val="20"/>
        </w:rPr>
        <w:t xml:space="preserve"> – liczba obiektów w pomieszczeniu</w:t>
      </w:r>
    </w:p>
    <w:p>
      <w:pPr>
        <w:pStyle w:val="Normal"/>
        <w:spacing w:before="0" w:after="240"/>
        <w:jc w:val="both"/>
        <w:rPr>
          <w:rFonts w:ascii="Verdana" w:hAnsi="Verdana" w:cs="Verdana"/>
          <w:b/>
          <w:b/>
          <w:sz w:val="20"/>
        </w:rPr>
      </w:pPr>
      <w:r>
        <w:rPr>
          <w:rFonts w:cs="Verdana" w:ascii="Verdana" w:hAnsi="Verdana"/>
          <w:i/>
          <w:sz w:val="20"/>
        </w:rPr>
        <w:t>m</w:t>
      </w:r>
      <w:r>
        <w:rPr>
          <w:rFonts w:cs="Verdana" w:ascii="Verdana" w:hAnsi="Verdana"/>
          <w:sz w:val="20"/>
        </w:rPr>
        <w:t xml:space="preserve"> – współczynnik pochłaniania dźwięku przez powietrze:</w:t>
      </w:r>
    </w:p>
    <w:tbl>
      <w:tblPr>
        <w:tblW w:w="9864" w:type="dxa"/>
        <w:jc w:val="center"/>
        <w:tblInd w:w="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firstRow="0" w:noVBand="0" w:lastRow="0" w:firstColumn="0" w:lastColumn="0" w:noHBand="0"/>
      </w:tblPr>
      <w:tblGrid>
        <w:gridCol w:w="2376"/>
        <w:gridCol w:w="1246"/>
        <w:gridCol w:w="1245"/>
        <w:gridCol w:w="1247"/>
        <w:gridCol w:w="1246"/>
        <w:gridCol w:w="1247"/>
        <w:gridCol w:w="1256"/>
      </w:tblGrid>
      <w:tr>
        <w:trPr/>
        <w:tc>
          <w:tcPr>
            <w:tcW w:w="237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sz w:val="20"/>
              </w:rPr>
              <w:t>Częstotliwość [Hz]</w:t>
            </w:r>
          </w:p>
        </w:tc>
        <w:tc>
          <w:tcPr>
            <w:tcW w:w="124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125</w:t>
            </w:r>
          </w:p>
        </w:tc>
        <w:tc>
          <w:tcPr>
            <w:tcW w:w="1245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250</w:t>
            </w:r>
          </w:p>
        </w:tc>
        <w:tc>
          <w:tcPr>
            <w:tcW w:w="124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500</w:t>
            </w:r>
          </w:p>
        </w:tc>
        <w:tc>
          <w:tcPr>
            <w:tcW w:w="124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1000</w:t>
            </w:r>
          </w:p>
        </w:tc>
        <w:tc>
          <w:tcPr>
            <w:tcW w:w="124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i/>
                <w:i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2000</w:t>
            </w:r>
          </w:p>
        </w:tc>
        <w:tc>
          <w:tcPr>
            <w:tcW w:w="125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b/>
                <w:b/>
                <w:sz w:val="20"/>
              </w:rPr>
            </w:pPr>
            <w:r>
              <w:rPr>
                <w:rFonts w:cs="Verdana" w:ascii="Verdana" w:hAnsi="Verdana"/>
                <w:b/>
                <w:i/>
                <w:sz w:val="20"/>
              </w:rPr>
              <w:t>4000</w:t>
            </w:r>
          </w:p>
        </w:tc>
      </w:tr>
      <w:tr>
        <w:trPr/>
        <w:tc>
          <w:tcPr>
            <w:tcW w:w="237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b/>
                <w:sz w:val="20"/>
              </w:rPr>
              <w:t>m [m</w:t>
            </w:r>
            <w:r>
              <w:rPr>
                <w:rFonts w:cs="Verdana" w:ascii="Verdana" w:hAnsi="Verdana"/>
                <w:b/>
                <w:sz w:val="20"/>
                <w:vertAlign w:val="superscript"/>
              </w:rPr>
              <w:t>-1</w:t>
            </w:r>
            <w:r>
              <w:rPr>
                <w:rFonts w:cs="Verdana" w:ascii="Verdana" w:hAnsi="Verdana"/>
                <w:b/>
                <w:sz w:val="20"/>
              </w:rPr>
              <w:t>]</w:t>
            </w:r>
          </w:p>
        </w:tc>
        <w:tc>
          <w:tcPr>
            <w:tcW w:w="124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0,000025</w:t>
            </w:r>
          </w:p>
        </w:tc>
        <w:tc>
          <w:tcPr>
            <w:tcW w:w="1245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0,00009</w:t>
            </w:r>
          </w:p>
        </w:tc>
        <w:tc>
          <w:tcPr>
            <w:tcW w:w="124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0,00025</w:t>
            </w:r>
          </w:p>
        </w:tc>
        <w:tc>
          <w:tcPr>
            <w:tcW w:w="124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0,0008</w:t>
            </w:r>
          </w:p>
        </w:tc>
        <w:tc>
          <w:tcPr>
            <w:tcW w:w="124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0,0025</w:t>
            </w:r>
          </w:p>
        </w:tc>
        <w:tc>
          <w:tcPr>
            <w:tcW w:w="125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ascii="Verdana" w:hAnsi="Verdana" w:cs="Verdana"/>
                <w:sz w:val="20"/>
              </w:rPr>
            </w:pPr>
            <w:r>
              <w:rPr>
                <w:rFonts w:cs="Verdana" w:ascii="Verdana" w:hAnsi="Verdana"/>
                <w:sz w:val="20"/>
              </w:rPr>
              <w:t>0,007</w:t>
            </w:r>
          </w:p>
        </w:tc>
      </w:tr>
    </w:tbl>
    <w:p>
      <w:pPr>
        <w:pStyle w:val="Normal"/>
        <w:jc w:val="both"/>
        <w:rPr>
          <w:rFonts w:ascii="Verdana" w:hAnsi="Verdana" w:cs="Verdana"/>
          <w:sz w:val="20"/>
        </w:rPr>
      </w:pPr>
      <w:r>
        <w:rPr>
          <w:rFonts w:cs="Verdana" w:ascii="Verdana" w:hAnsi="Verdana"/>
          <w:sz w:val="20"/>
        </w:rPr>
      </w:r>
    </w:p>
    <w:p>
      <w:pPr>
        <w:pStyle w:val="Normal"/>
        <w:spacing w:lineRule="auto" w:line="259" w:before="0" w:after="160"/>
        <w:rPr/>
      </w:pPr>
      <w:r>
        <w:rPr/>
      </w:r>
    </w:p>
    <w:p>
      <w:pPr>
        <w:pStyle w:val="Normal"/>
        <w:spacing w:lineRule="auto" w:line="259" w:before="0" w:after="160"/>
        <w:rPr>
          <w:rFonts w:ascii="Verdana" w:hAnsi="Verdana"/>
          <w:b/>
          <w:b/>
          <w:sz w:val="20"/>
          <w:szCs w:val="20"/>
          <w:lang w:eastAsia="ar-SA"/>
        </w:rPr>
      </w:pPr>
      <w:r>
        <w:rPr>
          <w:rFonts w:ascii="Verdana" w:hAnsi="Verdana"/>
          <w:b/>
          <w:sz w:val="20"/>
          <w:szCs w:val="20"/>
          <w:lang w:eastAsia="ar-SA"/>
        </w:rPr>
      </w:r>
      <w:r>
        <w:br w:type="page"/>
      </w:r>
    </w:p>
    <w:p>
      <w:pPr>
        <w:pStyle w:val="Nagwek2"/>
        <w:ind w:start="576" w:hanging="576"/>
        <w:rPr/>
      </w:pPr>
      <w:bookmarkStart w:id="40" w:name="_Toc182663389"/>
      <w:bookmarkStart w:id="41" w:name="_Toc176372516"/>
      <w:bookmarkStart w:id="42" w:name="_Toc118098253"/>
      <w:r>
        <w:rPr/>
        <w:t>Charakterystyka wskaźnika zrozumiałości mowy – wskaźnik STI</w:t>
      </w:r>
      <w:bookmarkEnd w:id="40"/>
      <w:bookmarkEnd w:id="41"/>
      <w:bookmarkEnd w:id="42"/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Parametr ten w sposób bezpośredni określa stopień zrozumiałości mowy na drodze transmisji sygnału w danym pomieszczeniu. W efekcie wielokrotnego nakładania się różnych warstw sygnału, zachodzącego wskutek bliższych i dalszych odbić, maleje głębokość modulacji transmitowanego sygnału.</w:t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Metoda </w:t>
      </w:r>
      <w:r>
        <w:rPr>
          <w:rFonts w:ascii="Verdana" w:hAnsi="Verdana"/>
          <w:b/>
          <w:sz w:val="20"/>
        </w:rPr>
        <w:t>STI</w:t>
      </w:r>
      <w:r>
        <w:rPr>
          <w:rFonts w:ascii="Verdana" w:hAnsi="Verdana"/>
          <w:sz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(ang. </w:t>
      </w:r>
      <w:r>
        <w:rPr>
          <w:rFonts w:ascii="Verdana" w:hAnsi="Verdana"/>
          <w:i/>
          <w:sz w:val="20"/>
          <w:szCs w:val="20"/>
        </w:rPr>
        <w:t>Speech Transmission Index</w:t>
      </w:r>
      <w:r>
        <w:rPr>
          <w:rFonts w:ascii="Verdana" w:hAnsi="Verdana"/>
          <w:sz w:val="20"/>
          <w:szCs w:val="20"/>
        </w:rPr>
        <w:t xml:space="preserve">) </w:t>
      </w:r>
      <w:r>
        <w:rPr>
          <w:rFonts w:ascii="Verdana" w:hAnsi="Verdana"/>
          <w:sz w:val="20"/>
        </w:rPr>
        <w:t>opiera się na pomiarach wykonanych w 7 pasmach oktawowych, których częstotliwości środkowe z zakresu 125 – 8000 Hz są modulowane czternastoma różnymi częstotliwościami. Ich wartości wynikają z podzielnia przedziału</w:t>
        <w:br/>
        <w:t>0,63 – 12,5 Hz na pasma tercjowe, których częstotliwości środkowe odpowiadają wartościom częstotliwości modulacji.</w:t>
      </w:r>
    </w:p>
    <w:p>
      <w:pPr>
        <w:pStyle w:val="Normal"/>
        <w:spacing w:before="0" w:after="24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Do wyznaczenia odpowiedzi impulsowej h(t) wykorzystuje się zazwyczaj pobudzenie akustyczne w postaci sekwencji szumowych o stałej gęstości widmowej. Szczególnie przydatne do tego celu są sygnały MLS (Maximum Length Sequence). Cechą wspólną tych sekwencji jest stała amplituda sygnału przyjmująca tylko wartości U</w:t>
      </w:r>
      <w:r>
        <w:rPr>
          <w:rFonts w:ascii="Verdana" w:hAnsi="Verdana"/>
          <w:sz w:val="20"/>
          <w:vertAlign w:val="subscript"/>
        </w:rPr>
        <w:t>max</w:t>
      </w:r>
      <w:r>
        <w:rPr>
          <w:rFonts w:ascii="Verdana" w:hAnsi="Verdana"/>
          <w:sz w:val="20"/>
        </w:rPr>
        <w:t xml:space="preserve"> i U</w:t>
      </w:r>
      <w:r>
        <w:rPr>
          <w:rFonts w:ascii="Verdana" w:hAnsi="Verdana"/>
          <w:sz w:val="20"/>
          <w:vertAlign w:val="subscript"/>
        </w:rPr>
        <w:t>min</w:t>
      </w:r>
      <w:r>
        <w:rPr>
          <w:rFonts w:ascii="Verdana" w:hAnsi="Verdana"/>
          <w:sz w:val="20"/>
        </w:rPr>
        <w:t xml:space="preserve"> oraz funkcją autokorelacji w postaci delty Diraca. Z tego powodu uzyskany przebieg odpowiedzi impulsowej wykazuje dużą odporność na działanie zewnętrznych zakłóceń.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Metoda </w:t>
      </w:r>
      <w:r>
        <w:rPr>
          <w:rFonts w:ascii="Verdana" w:hAnsi="Verdana"/>
          <w:b/>
          <w:bCs/>
          <w:sz w:val="20"/>
        </w:rPr>
        <w:t>RASTI</w:t>
      </w:r>
      <w:r>
        <w:rPr>
          <w:rFonts w:ascii="Verdana" w:hAnsi="Verdana"/>
          <w:sz w:val="20"/>
        </w:rPr>
        <w:t xml:space="preserve"> opiera się na 9 pomiarach przeprowadzonych w 2 pasmach oktawowych o częstotliwościach środkowych </w:t>
      </w:r>
      <w:r>
        <w:rPr>
          <w:rFonts w:ascii="Verdana" w:hAnsi="Verdana"/>
          <w:i/>
          <w:iCs/>
          <w:sz w:val="20"/>
        </w:rPr>
        <w:t>500</w:t>
      </w:r>
      <w:r>
        <w:rPr>
          <w:rFonts w:ascii="Verdana" w:hAnsi="Verdana"/>
          <w:sz w:val="20"/>
        </w:rPr>
        <w:t xml:space="preserve"> i </w:t>
      </w:r>
      <w:r>
        <w:rPr>
          <w:rFonts w:ascii="Verdana" w:hAnsi="Verdana"/>
          <w:i/>
          <w:iCs/>
          <w:sz w:val="20"/>
        </w:rPr>
        <w:t>2000 Hz</w:t>
      </w:r>
      <w:r>
        <w:rPr>
          <w:rFonts w:ascii="Verdana" w:hAnsi="Verdana"/>
          <w:sz w:val="20"/>
        </w:rPr>
        <w:t xml:space="preserve"> (dla </w:t>
      </w:r>
      <w:r>
        <w:rPr>
          <w:rFonts w:ascii="Verdana" w:hAnsi="Verdana"/>
          <w:i/>
          <w:iCs/>
          <w:sz w:val="20"/>
        </w:rPr>
        <w:t>f = 500 Hz</w:t>
      </w:r>
      <w:r>
        <w:rPr>
          <w:rFonts w:ascii="Verdana" w:hAnsi="Verdana"/>
          <w:sz w:val="20"/>
        </w:rPr>
        <w:t xml:space="preserve"> częstotliwości modulacji zawierają się w zakresie </w:t>
      </w:r>
      <w:r>
        <w:rPr>
          <w:rFonts w:ascii="Verdana" w:hAnsi="Verdana"/>
          <w:i/>
          <w:iCs/>
          <w:sz w:val="20"/>
        </w:rPr>
        <w:t>1- 8 Hz</w:t>
      </w:r>
      <w:r>
        <w:rPr>
          <w:rFonts w:ascii="Verdana" w:hAnsi="Verdana"/>
          <w:sz w:val="20"/>
        </w:rPr>
        <w:t xml:space="preserve"> z odstępem tercjowym, natomiast dla </w:t>
      </w:r>
      <w:r>
        <w:rPr>
          <w:rFonts w:ascii="Verdana" w:hAnsi="Verdana"/>
          <w:i/>
          <w:iCs/>
          <w:sz w:val="20"/>
        </w:rPr>
        <w:t>f = 2000 Hz</w:t>
      </w:r>
      <w:r>
        <w:rPr>
          <w:rFonts w:ascii="Verdana" w:hAnsi="Verdana"/>
          <w:sz w:val="20"/>
        </w:rPr>
        <w:t xml:space="preserve"> częstotliwości modulacji zawierają się w zakresie </w:t>
      </w:r>
      <w:r>
        <w:rPr>
          <w:rFonts w:ascii="Verdana" w:hAnsi="Verdana"/>
          <w:i/>
          <w:iCs/>
          <w:sz w:val="20"/>
        </w:rPr>
        <w:t>0,7 - 11,2 Hz</w:t>
      </w:r>
      <w:r>
        <w:rPr>
          <w:rFonts w:ascii="Verdana" w:hAnsi="Verdana"/>
          <w:sz w:val="20"/>
        </w:rPr>
        <w:t xml:space="preserve"> również z odstępem tercjowym) co powoduje </w:t>
      </w:r>
      <w:r>
        <w:rPr>
          <w:rFonts w:ascii="Verdana" w:hAnsi="Verdana"/>
          <w:b/>
          <w:bCs/>
          <w:sz w:val="20"/>
        </w:rPr>
        <w:t>znaczne skrócenie</w:t>
      </w:r>
      <w:r>
        <w:rPr>
          <w:rFonts w:ascii="Verdana" w:hAnsi="Verdana"/>
          <w:sz w:val="20"/>
        </w:rPr>
        <w:t xml:space="preserve"> czasu pomiaru. Metoda ta opiera się na wyznaczeniu modulacyjnej funkcji przejścia </w:t>
      </w:r>
      <w:r>
        <w:rPr>
          <w:rFonts w:ascii="Verdana" w:hAnsi="Verdana"/>
          <w:b/>
          <w:bCs/>
          <w:sz w:val="20"/>
        </w:rPr>
        <w:t>MTF</w:t>
      </w:r>
      <w:r>
        <w:rPr>
          <w:rFonts w:ascii="Verdana" w:hAnsi="Verdana"/>
          <w:sz w:val="20"/>
        </w:rPr>
        <w:t xml:space="preserve"> (ang. </w:t>
      </w:r>
      <w:r>
        <w:rPr>
          <w:rFonts w:ascii="Verdana" w:hAnsi="Verdana"/>
          <w:i/>
          <w:iCs/>
          <w:sz w:val="20"/>
        </w:rPr>
        <w:t>modulation transfer function</w:t>
      </w:r>
      <w:r>
        <w:rPr>
          <w:rFonts w:ascii="Verdana" w:hAnsi="Verdana"/>
          <w:sz w:val="20"/>
        </w:rPr>
        <w:t xml:space="preserve">): </w:t>
      </w:r>
    </w:p>
    <w:p>
      <w:pPr>
        <w:pStyle w:val="Tretekstu"/>
        <w:rPr>
          <w:b/>
          <w:b/>
          <w:bCs/>
          <w:color w:val="000000"/>
          <w:szCs w:val="20"/>
        </w:rPr>
      </w:pPr>
      <w:r>
        <w:rPr>
          <w:b/>
          <w:bCs/>
          <w:color w:val="000000"/>
          <w:szCs w:val="20"/>
        </w:rPr>
      </w:r>
    </w:p>
    <w:tbl>
      <w:tblPr>
        <w:tblW w:w="2296" w:type="dxa"/>
        <w:jc w:val="center"/>
        <w:tblInd w:w="0" w:type="dxa"/>
        <w:tblLayout w:type="fixed"/>
        <w:tblCellMar>
          <w:top w:w="15" w:type="dxa"/>
          <w:start w:w="15" w:type="dxa"/>
          <w:bottom w:w="15" w:type="dxa"/>
          <w:end w:w="15" w:type="dxa"/>
        </w:tblCellMar>
        <w:tblLook w:firstRow="0" w:noVBand="0" w:lastRow="0" w:firstColumn="0" w:lastColumn="0" w:noHBand="0"/>
      </w:tblPr>
      <w:tblGrid>
        <w:gridCol w:w="1038"/>
        <w:gridCol w:w="386"/>
        <w:gridCol w:w="872"/>
      </w:tblGrid>
      <w:tr>
        <w:trPr>
          <w:trHeight w:val="1430" w:hRule="atLeast"/>
        </w:trPr>
        <w:tc>
          <w:tcPr>
            <w:tcW w:w="1038" w:type="dxa"/>
            <w:tcBorders>
              <w:top w:val="dotted" w:sz="4" w:space="0" w:color="FFFFFF"/>
              <w:start w:val="dotted" w:sz="4" w:space="0" w:color="FFFFFF"/>
              <w:bottom w:val="dotted" w:sz="4" w:space="0" w:color="FFFFFF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rFonts w:ascii="Arial Unicode MS" w:hAnsi="Arial Unicode MS" w:eastAsia="Arial Unicode MS" w:cs="Arial Unicode MS"/>
                <w:b/>
                <w:b/>
                <w:bCs/>
              </w:rPr>
            </w:pPr>
            <w:r>
              <w:rPr>
                <w:b/>
                <w:bCs/>
                <w:i/>
                <w:iCs/>
              </w:rPr>
              <w:t xml:space="preserve">MTF = </w:t>
            </w:r>
          </w:p>
        </w:tc>
        <w:tc>
          <w:tcPr>
            <w:tcW w:w="386" w:type="dxa"/>
            <w:tcBorders>
              <w:top w:val="dotted" w:sz="4" w:space="0" w:color="FFFFFF"/>
              <w:bottom w:val="dotted" w:sz="4" w:space="0" w:color="FFFFFF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b/>
                <w:b/>
                <w:bCs/>
              </w:rPr>
            </w:pPr>
            <w:r>
              <w:rPr>
                <w:rFonts w:ascii="Symbol" w:hAnsi="Symbol"/>
                <w:b/>
                <w:bCs/>
                <w:i/>
                <w:iCs/>
              </w:rPr>
              <w:t></w:t>
            </w:r>
            <w:r>
              <w:rPr>
                <w:b/>
                <w:bCs/>
                <w:i/>
                <w:iCs/>
              </w:rPr>
              <w:br/>
            </w:r>
            <w:r>
              <w:rPr>
                <w:rFonts w:ascii="Symbol" w:hAnsi="Symbol"/>
                <w:b/>
                <w:bCs/>
              </w:rPr>
              <w:t></w:t>
              <w:br/>
              <w:t></w:t>
              <w:br/>
            </w:r>
            <w:r>
              <w:rPr>
                <w:b/>
                <w:bCs/>
                <w:i/>
                <w:iCs/>
                <w:sz w:val="20"/>
                <w:szCs w:val="20"/>
              </w:rPr>
              <w:t>0</w:t>
            </w:r>
            <w:r>
              <w:rPr>
                <w:b/>
                <w:bCs/>
              </w:rPr>
              <w:t xml:space="preserve"> </w:t>
            </w:r>
          </w:p>
          <w:p>
            <w:pPr>
              <w:pStyle w:val="Normal"/>
              <w:widowControl w:val="false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Normal"/>
              <w:widowControl w:val="false"/>
              <w:jc w:val="center"/>
              <w:rPr>
                <w:rFonts w:ascii="Arial Unicode MS" w:hAnsi="Arial Unicode MS" w:eastAsia="Arial Unicode MS" w:cs="Arial Unicode MS"/>
                <w:b/>
                <w:b/>
                <w:bCs/>
                <w:lang w:val="de-DE"/>
              </w:rPr>
            </w:pPr>
            <w:r>
              <w:rPr>
                <w:rFonts w:ascii="Symbol" w:hAnsi="Symbol"/>
                <w:b/>
                <w:bCs/>
                <w:i/>
                <w:iCs/>
              </w:rPr>
              <w:t></w:t>
            </w:r>
            <w:r>
              <w:rPr>
                <w:b/>
                <w:bCs/>
                <w:i/>
                <w:iCs/>
                <w:lang w:val="de-DE"/>
              </w:rPr>
              <w:br/>
            </w:r>
            <w:r>
              <w:rPr>
                <w:rFonts w:ascii="Symbol" w:hAnsi="Symbol"/>
                <w:b/>
                <w:bCs/>
              </w:rPr>
              <w:t></w:t>
            </w:r>
            <w:r>
              <w:rPr>
                <w:rFonts w:ascii="Symbol" w:hAnsi="Symbol"/>
                <w:b/>
                <w:bCs/>
                <w:lang w:val="de-DE"/>
              </w:rPr>
              <w:br/>
            </w:r>
            <w:r>
              <w:rPr>
                <w:rFonts w:ascii="Symbol" w:hAnsi="Symbol"/>
                <w:b/>
                <w:bCs/>
              </w:rPr>
              <w:t></w:t>
            </w:r>
            <w:r>
              <w:rPr>
                <w:rFonts w:ascii="Symbol" w:hAnsi="Symbol"/>
                <w:b/>
                <w:bCs/>
                <w:lang w:val="de-DE"/>
              </w:rPr>
              <w:br/>
            </w:r>
            <w:r>
              <w:rPr>
                <w:b/>
                <w:bCs/>
                <w:i/>
                <w:iCs/>
                <w:sz w:val="20"/>
                <w:szCs w:val="20"/>
                <w:lang w:val="de-DE"/>
              </w:rPr>
              <w:t>0</w:t>
            </w:r>
          </w:p>
        </w:tc>
        <w:tc>
          <w:tcPr>
            <w:tcW w:w="872" w:type="dxa"/>
            <w:tcBorders>
              <w:top w:val="dotted" w:sz="4" w:space="0" w:color="FFFFFF"/>
              <w:bottom w:val="dotted" w:sz="4" w:space="0" w:color="FFFFFF"/>
              <w:end w:val="dotted" w:sz="4" w:space="0" w:color="FFFFFF"/>
            </w:tcBorders>
            <w:vAlign w:val="center"/>
          </w:tcPr>
          <w:p>
            <w:pPr>
              <w:pStyle w:val="Normal"/>
              <w:widowControl w:val="false"/>
              <w:spacing w:before="0" w:after="240"/>
              <w:jc w:val="center"/>
              <w:rPr>
                <w:b/>
                <w:b/>
                <w:bCs/>
                <w:lang w:val="de-DE"/>
              </w:rPr>
            </w:pPr>
            <w:r>
              <w:rPr>
                <w:b/>
                <w:bCs/>
                <w:i/>
                <w:iCs/>
                <w:lang w:val="de-DE"/>
              </w:rPr>
              <w:t>p</w:t>
            </w:r>
            <w:r>
              <w:rPr>
                <w:b/>
                <w:bCs/>
                <w:i/>
                <w:iCs/>
                <w:vertAlign w:val="superscript"/>
                <w:lang w:val="de-DE"/>
              </w:rPr>
              <w:t>2</w:t>
            </w:r>
            <w:r>
              <w:rPr>
                <w:b/>
                <w:bCs/>
                <w:i/>
                <w:iCs/>
                <w:lang w:val="de-DE"/>
              </w:rPr>
              <w:t>(t) e</w:t>
            </w:r>
            <w:r>
              <w:rPr>
                <w:b/>
                <w:bCs/>
                <w:i/>
                <w:iCs/>
                <w:vertAlign w:val="superscript"/>
                <w:lang w:val="de-DE"/>
              </w:rPr>
              <w:t xml:space="preserve"> - j</w:t>
            </w:r>
            <w:r>
              <w:rPr>
                <w:rFonts w:ascii="Symbol" w:hAnsi="Symbol"/>
                <w:b/>
                <w:bCs/>
                <w:vertAlign w:val="superscript"/>
              </w:rPr>
              <w:t></w:t>
            </w:r>
            <w:r>
              <w:rPr>
                <w:b/>
                <w:bCs/>
                <w:i/>
                <w:iCs/>
                <w:vertAlign w:val="superscript"/>
                <w:lang w:val="de-DE"/>
              </w:rPr>
              <w:t>t</w:t>
            </w:r>
            <w:r>
              <w:rPr>
                <w:b/>
                <w:bCs/>
                <w:i/>
                <w:iCs/>
                <w:lang w:val="de-DE"/>
              </w:rPr>
              <w:t xml:space="preserve"> dt</w:t>
            </w:r>
          </w:p>
          <w:p>
            <w:pPr>
              <w:pStyle w:val="Normal"/>
              <w:widowControl w:val="false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Normal"/>
              <w:widowControl w:val="false"/>
              <w:jc w:val="center"/>
              <w:rPr>
                <w:rFonts w:ascii="Arial Unicode MS" w:hAnsi="Arial Unicode MS" w:eastAsia="Arial Unicode MS" w:cs="Arial Unicode MS"/>
                <w:b/>
                <w:b/>
                <w:bCs/>
                <w:lang w:val="de-DE"/>
              </w:rPr>
            </w:pPr>
            <w:r>
              <w:rPr>
                <w:b/>
                <w:bCs/>
                <w:lang w:val="de-DE"/>
              </w:rPr>
              <w:br/>
            </w:r>
            <w:r>
              <w:rPr>
                <w:b/>
                <w:bCs/>
                <w:i/>
                <w:iCs/>
                <w:lang w:val="de-DE"/>
              </w:rPr>
              <w:t>p</w:t>
            </w:r>
            <w:r>
              <w:rPr>
                <w:b/>
                <w:bCs/>
                <w:i/>
                <w:iCs/>
                <w:vertAlign w:val="superscript"/>
                <w:lang w:val="de-DE"/>
              </w:rPr>
              <w:t>2</w:t>
            </w:r>
            <w:r>
              <w:rPr>
                <w:b/>
                <w:bCs/>
                <w:i/>
                <w:iCs/>
                <w:lang w:val="de-DE"/>
              </w:rPr>
              <w:t>(t) dt</w:t>
            </w:r>
          </w:p>
        </w:tc>
      </w:tr>
    </w:tbl>
    <w:tbl>
      <w:tblPr>
        <w:tblpPr w:vertAnchor="text" w:horzAnchor="page" w:leftFromText="141" w:rightFromText="141" w:tblpX="7182" w:tblpY="-1595"/>
        <w:tblW w:w="1844" w:type="dxa"/>
        <w:jc w:val="start"/>
        <w:tblInd w:w="0" w:type="dxa"/>
        <w:tblLayout w:type="fixed"/>
        <w:tblCellMar>
          <w:top w:w="15" w:type="dxa"/>
          <w:start w:w="15" w:type="dxa"/>
          <w:bottom w:w="15" w:type="dxa"/>
          <w:end w:w="15" w:type="dxa"/>
        </w:tblCellMar>
        <w:tblLook w:firstRow="0" w:noVBand="0" w:lastRow="0" w:firstColumn="0" w:lastColumn="0" w:noHBand="0"/>
      </w:tblPr>
      <w:tblGrid>
        <w:gridCol w:w="1132"/>
        <w:gridCol w:w="711"/>
      </w:tblGrid>
      <w:tr>
        <w:trPr/>
        <w:tc>
          <w:tcPr>
            <w:tcW w:w="1132" w:type="dxa"/>
            <w:tcBorders/>
            <w:vAlign w:val="center"/>
          </w:tcPr>
          <w:p>
            <w:pPr>
              <w:pStyle w:val="Normal"/>
              <w:widowControl w:val="false"/>
              <w:jc w:val="center"/>
              <w:rPr>
                <w:rFonts w:ascii="Arial Unicode MS" w:hAnsi="Arial Unicode MS" w:eastAsia="Arial Unicode MS" w:cs="Arial Unicode MS"/>
                <w:b/>
                <w:b/>
                <w:bCs/>
              </w:rPr>
            </w:pPr>
            <w:r>
              <w:rPr>
                <w:b/>
                <w:bCs/>
                <w:i/>
                <w:iCs/>
              </w:rPr>
              <w:t xml:space="preserve">MTF = </w:t>
            </w:r>
          </w:p>
        </w:tc>
        <w:tc>
          <w:tcPr>
            <w:tcW w:w="711" w:type="dxa"/>
            <w:tcBorders/>
            <w:vAlign w:val="center"/>
          </w:tcPr>
          <w:p>
            <w:pPr>
              <w:pStyle w:val="Normal"/>
              <w:widowControl w:val="false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  <w:i/>
                <w:iCs/>
              </w:rPr>
              <w:t>m</w:t>
            </w:r>
            <w:r>
              <w:rPr>
                <w:b/>
                <w:bCs/>
                <w:i/>
                <w:iCs/>
                <w:vertAlign w:val="subscript"/>
              </w:rPr>
              <w:t>out</w:t>
            </w:r>
          </w:p>
          <w:p>
            <w:pPr>
              <w:pStyle w:val="Normal"/>
              <w:widowControl w:val="false"/>
              <w:jc w:val="center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Normal"/>
              <w:widowControl w:val="false"/>
              <w:jc w:val="center"/>
              <w:rPr>
                <w:rFonts w:ascii="Arial Unicode MS" w:hAnsi="Arial Unicode MS" w:eastAsia="Arial Unicode MS" w:cs="Arial Unicode MS"/>
                <w:b/>
                <w:b/>
                <w:bCs/>
              </w:rPr>
            </w:pPr>
            <w:r>
              <w:rPr>
                <w:b/>
                <w:bCs/>
                <w:i/>
                <w:iCs/>
              </w:rPr>
              <w:t>m</w:t>
            </w:r>
            <w:r>
              <w:rPr>
                <w:b/>
                <w:bCs/>
                <w:i/>
                <w:iCs/>
                <w:vertAlign w:val="subscript"/>
              </w:rPr>
              <w:t>in</w:t>
            </w:r>
          </w:p>
        </w:tc>
      </w:tr>
    </w:tbl>
    <w:p>
      <w:pPr>
        <w:pStyle w:val="Normal"/>
        <w:jc w:val="both"/>
        <w:rPr>
          <w:rFonts w:ascii="Verdana" w:hAnsi="Verdana"/>
          <w:b/>
          <w:b/>
          <w:bCs/>
          <w:sz w:val="20"/>
        </w:rPr>
      </w:pPr>
      <w:r>
        <w:rPr>
          <w:rFonts w:ascii="Verdana" w:hAnsi="Verdana"/>
          <w:b/>
          <w:bCs/>
          <w:sz w:val="20"/>
        </w:rPr>
      </w:r>
    </w:p>
    <w:p>
      <w:pPr>
        <w:pStyle w:val="Normal"/>
        <w:ind w:start="4956" w:firstLine="708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gdzie </w:t>
      </w:r>
      <w:r>
        <w:rPr>
          <w:rFonts w:ascii="Verdana" w:hAnsi="Verdana"/>
          <w:i/>
          <w:iCs/>
          <w:sz w:val="20"/>
        </w:rPr>
        <w:t>m</w:t>
      </w:r>
      <w:r>
        <w:rPr>
          <w:rFonts w:ascii="Verdana" w:hAnsi="Verdana"/>
          <w:sz w:val="20"/>
        </w:rPr>
        <w:t xml:space="preserve"> - głębokość modulacji.</w:t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br/>
        <w:t xml:space="preserve">System transmisji jakim jest pomieszczenie </w:t>
      </w:r>
      <w:r>
        <w:rPr>
          <w:rFonts w:ascii="Verdana" w:hAnsi="Verdana"/>
          <w:b/>
          <w:bCs/>
          <w:sz w:val="20"/>
        </w:rPr>
        <w:t>zmniejsza stopień modulacji</w:t>
      </w:r>
      <w:r>
        <w:rPr>
          <w:rFonts w:ascii="Verdana" w:hAnsi="Verdana"/>
          <w:sz w:val="20"/>
        </w:rPr>
        <w:t xml:space="preserve"> sygnału, natomiast nie zmniejsza kształtu sinusoidalnej fali modulacyjnej.</w:t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Poniżej przedstawiono zależność między współczynnikiem </w:t>
      </w:r>
      <w:r>
        <w:rPr>
          <w:rFonts w:ascii="Verdana" w:hAnsi="Verdana"/>
          <w:b/>
          <w:bCs/>
          <w:sz w:val="20"/>
        </w:rPr>
        <w:t>RASTI</w:t>
      </w:r>
      <w:r>
        <w:rPr>
          <w:rFonts w:ascii="Verdana" w:hAnsi="Verdana"/>
          <w:sz w:val="20"/>
        </w:rPr>
        <w:t xml:space="preserve"> a zrozumiałością mowy:</w:t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tbl>
      <w:tblPr>
        <w:tblW w:w="6086" w:type="dxa"/>
        <w:jc w:val="center"/>
        <w:tblInd w:w="0" w:type="dxa"/>
        <w:tblLayout w:type="fixed"/>
        <w:tblCellMar>
          <w:top w:w="0" w:type="dxa"/>
          <w:start w:w="0" w:type="dxa"/>
          <w:bottom w:w="0" w:type="dxa"/>
          <w:end w:w="0" w:type="dxa"/>
        </w:tblCellMar>
        <w:tblLook w:firstRow="1" w:noVBand="1" w:lastRow="0" w:firstColumn="1" w:lastColumn="0" w:noHBand="0"/>
      </w:tblPr>
      <w:tblGrid>
        <w:gridCol w:w="3043"/>
        <w:gridCol w:w="3042"/>
      </w:tblGrid>
      <w:tr>
        <w:trPr>
          <w:trHeight w:val="565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RASTI/STI [%]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Zrozumiałość mowy</w:t>
            </w:r>
          </w:p>
        </w:tc>
      </w:tr>
      <w:tr>
        <w:trPr>
          <w:trHeight w:val="398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sz w:val="20"/>
                <w:szCs w:val="20"/>
              </w:rPr>
              <w:t>0 – 30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zła</w:t>
            </w:r>
          </w:p>
        </w:tc>
      </w:tr>
      <w:tr>
        <w:trPr>
          <w:trHeight w:val="404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sz w:val="20"/>
                <w:szCs w:val="20"/>
              </w:rPr>
              <w:t>30 – 45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uboga</w:t>
            </w:r>
          </w:p>
        </w:tc>
      </w:tr>
      <w:tr>
        <w:trPr>
          <w:trHeight w:val="410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sz w:val="20"/>
                <w:szCs w:val="20"/>
              </w:rPr>
              <w:t>45 – 60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dostateczna</w:t>
            </w:r>
          </w:p>
        </w:tc>
      </w:tr>
      <w:tr>
        <w:trPr>
          <w:trHeight w:val="401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sz w:val="20"/>
                <w:szCs w:val="20"/>
              </w:rPr>
              <w:t>60 – 75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D2EAF1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dobra</w:t>
            </w:r>
          </w:p>
        </w:tc>
      </w:tr>
      <w:tr>
        <w:trPr>
          <w:trHeight w:val="408" w:hRule="atLeast"/>
        </w:trPr>
        <w:tc>
          <w:tcPr>
            <w:tcW w:w="3043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Cs/>
                <w:sz w:val="20"/>
                <w:szCs w:val="20"/>
              </w:rPr>
              <w:t>75 – 100</w:t>
            </w:r>
          </w:p>
        </w:tc>
        <w:tc>
          <w:tcPr>
            <w:tcW w:w="3042" w:type="dxa"/>
            <w:tcBorders>
              <w:top w:val="single" w:sz="8" w:space="0" w:color="78C0D4"/>
              <w:start w:val="single" w:sz="8" w:space="0" w:color="78C0D4"/>
              <w:bottom w:val="single" w:sz="8" w:space="0" w:color="78C0D4"/>
              <w:end w:val="single" w:sz="8" w:space="0" w:color="78C0D4"/>
            </w:tcBorders>
            <w:shd w:color="auto" w:fill="A5D5E2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doskonała</w:t>
            </w:r>
          </w:p>
        </w:tc>
      </w:tr>
    </w:tbl>
    <w:p>
      <w:pPr>
        <w:pStyle w:val="Normal"/>
        <w:spacing w:lineRule="auto" w:line="259" w:before="0" w:after="160"/>
        <w:rPr/>
      </w:pPr>
      <w:r>
        <w:rPr/>
      </w:r>
      <w:r>
        <w:br w:type="page"/>
      </w:r>
    </w:p>
    <w:p>
      <w:pPr>
        <w:pStyle w:val="Nagwek2"/>
        <w:ind w:start="576" w:hanging="576"/>
        <w:rPr>
          <w:rStyle w:val="ColonagowekZnak"/>
          <w:b/>
          <w:b/>
          <w:bCs/>
          <w:color w:val="002060"/>
        </w:rPr>
      </w:pPr>
      <w:bookmarkStart w:id="43" w:name="_Toc182663390"/>
      <w:r>
        <w:rPr>
          <w:rStyle w:val="ColonagowekZnak"/>
          <w:b/>
          <w:bCs/>
          <w:color w:val="002060"/>
        </w:rPr>
        <w:t>STAN SUROWY SALI</w:t>
      </w:r>
      <w:bookmarkEnd w:id="43"/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Poniżej zestawiono warunki symulacyjne jakie będą osiągnięte dla stanu surowego Sali. Wartości współczynników pochłaniana przyjętych materiałów pobrano z wytycznych określonych w normie PN-B-0215-4.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Do wykonania symulacji stanu surowego przyjęto: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- ściany żelbetowe beton szorstki- współczynniki pochłaniania dźwięku określono normowo 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belki stropowe stalowe ażurowe,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- zestawy szybowe okienne – współczynniki pochłaniania dźwięku określono normowo 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- posadzka deski na legarach - współczynniki pochłaniania dźwięku określono normowo 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sufit tynk wapienno – cementowy,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źródło wszechkierunkowe oznaczone pkt A0,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jeden odbiornik oznaczony pkt 01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mapa na poziomie 80 cm nad poziomem tafli boiska,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- symulacja bez obecności ludzi,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/>
        <w:drawing>
          <wp:inline distT="0" distB="0" distL="0" distR="0">
            <wp:extent cx="6120130" cy="3312795"/>
            <wp:effectExtent l="0" t="0" r="0" b="0"/>
            <wp:docPr id="6" name="Obraz6" descr="Obraz zawierający Wielobarwność, zrzut ekranu, żółty, lini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6" descr="Obraz zawierający Wielobarwność, zrzut ekranu, żółty, lini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lang w:eastAsia="ar-SA"/>
        </w:rPr>
      </w:pPr>
      <w:r>
        <w:rPr>
          <w:lang w:eastAsia="ar-SA"/>
        </w:rPr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Rozkład punktów pomiarowych czasu pogłosu T30 na poziomie tafli boiska   </w:t>
      </w:r>
    </w:p>
    <w:p>
      <w:pPr>
        <w:pStyle w:val="Normal"/>
        <w:jc w:val="both"/>
        <w:rPr>
          <w:lang w:eastAsia="ar-SA"/>
        </w:rPr>
      </w:pPr>
      <w:r>
        <w:rPr>
          <w:lang w:eastAsia="ar-SA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Przy osiągniętych warunkach pogłosowych na poziomie od 4,7 do 5,13 sekund prowadzenie zajęć będzie niemożliwym. Wskaźnik zrozumiałości mowy również jest na poziomie niedopuszczalnym. Zgodnie z obowiązującą normą dla objętości powyżej 5000 m</w:t>
      </w:r>
      <w:r>
        <w:rPr>
          <w:rFonts w:ascii="Verdana" w:hAnsi="Verdana"/>
          <w:sz w:val="20"/>
          <w:vertAlign w:val="superscript"/>
        </w:rPr>
        <w:t>3</w:t>
      </w:r>
      <w:r>
        <w:rPr>
          <w:rFonts w:ascii="Verdana" w:hAnsi="Verdana"/>
          <w:sz w:val="20"/>
        </w:rPr>
        <w:t xml:space="preserve"> czas pogłosu sali powinien być na poziomie nie wyższym niż 1,8 sek. W związku z powyższym przeprowadza się analizę akustyczną sali w zakresie dobrania odpowiednich materiałów akustycznych wraz ze wskazaniem miejsca ich lokalizacji wg poniższych wytycznych. </w:t>
      </w:r>
    </w:p>
    <w:p>
      <w:pPr>
        <w:pStyle w:val="Colozwyky1"/>
        <w:jc w:val="center"/>
        <w:rPr>
          <w:lang w:eastAsia="pl-PL"/>
        </w:rPr>
      </w:pPr>
      <w:r>
        <w:rPr/>
        <w:drawing>
          <wp:inline distT="0" distB="0" distL="0" distR="0">
            <wp:extent cx="6120130" cy="3415030"/>
            <wp:effectExtent l="0" t="0" r="0" b="0"/>
            <wp:docPr id="7" name="Obraz7" descr="Obraz zawierający zrzut ekranu, Wielobarwność, Prostokąt, niebieskie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7" descr="Obraz zawierający zrzut ekranu, Wielobarwność, Prostokąt, niebieskie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Verdana"/>
          <w:sz w:val="14"/>
          <w:szCs w:val="14"/>
        </w:rPr>
        <w:t xml:space="preserve"> </w:t>
      </w:r>
      <w:r>
        <w:rPr>
          <w:rFonts w:cs="Verdana"/>
          <w:sz w:val="14"/>
          <w:szCs w:val="14"/>
        </w:rPr>
        <w:t xml:space="preserve">Rozkład punktów pomiarowych wskaźnika zrozumiałości mowy STI na poziomie tafli boiska i balkonu   </w:t>
      </w:r>
    </w:p>
    <w:p>
      <w:pPr>
        <w:pStyle w:val="Colozwyky1"/>
        <w:jc w:val="center"/>
        <w:rPr>
          <w:lang w:eastAsia="pl-PL"/>
        </w:rPr>
      </w:pPr>
      <w:r>
        <w:rPr>
          <w:lang w:eastAsia="pl-PL"/>
        </w:rPr>
      </w:r>
    </w:p>
    <w:p>
      <w:pPr>
        <w:pStyle w:val="Normal"/>
        <w:jc w:val="both"/>
        <w:rPr>
          <w:lang w:eastAsia="ar-SA"/>
        </w:rPr>
      </w:pPr>
      <w:r>
        <w:rPr>
          <w:lang w:eastAsia="ar-SA"/>
        </w:rPr>
      </w:r>
    </w:p>
    <w:p>
      <w:pPr>
        <w:pStyle w:val="Normal"/>
        <w:jc w:val="both"/>
        <w:rPr>
          <w:lang w:eastAsia="ar-SA"/>
        </w:rPr>
      </w:pPr>
      <w:r>
        <w:rPr>
          <w:lang w:eastAsia="ar-SA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Wskaźnik zrozumiałości mowy STI za wyjątkiem najbliższej okolicy źródła posiada uśredniony poziom 0,21 na powierzchni boiska i balkonu. 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Zalecany normowo poziom jako minimum 0,6 przy istniejącym wyposażeniu sali niemożliwy do osiągnięcia. Warunki pogłosowe należy poprawić poprzez wprowadzenie odpowiedniej chłonności akustycznej.</w:t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rPr>
          <w:rFonts w:ascii="Verdana" w:hAnsi="Verdana"/>
          <w:sz w:val="20"/>
        </w:rPr>
      </w:pPr>
      <w:r>
        <w:rPr>
          <w:rFonts w:ascii="Verdana" w:hAnsi="Verdana"/>
          <w:sz w:val="20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  <w:bookmarkStart w:id="44" w:name="_Toc115449882"/>
      <w:bookmarkStart w:id="45" w:name="_Toc472070472"/>
      <w:bookmarkStart w:id="46" w:name="_Toc381101670"/>
      <w:bookmarkStart w:id="47" w:name="_Toc115449882"/>
      <w:bookmarkStart w:id="48" w:name="_Toc472070472"/>
      <w:bookmarkStart w:id="49" w:name="_Toc381101670"/>
      <w:bookmarkEnd w:id="47"/>
      <w:bookmarkEnd w:id="48"/>
      <w:bookmarkEnd w:id="49"/>
    </w:p>
    <w:p>
      <w:pPr>
        <w:pStyle w:val="Nagwek2"/>
        <w:ind w:start="576" w:hanging="576"/>
        <w:rPr>
          <w:rStyle w:val="ColonagowekZnak"/>
          <w:b/>
          <w:b/>
          <w:bCs/>
          <w:color w:val="002060"/>
        </w:rPr>
      </w:pPr>
      <w:r>
        <w:rPr>
          <w:b/>
          <w:bCs/>
          <w:color w:val="002060"/>
        </w:rPr>
      </w:r>
    </w:p>
    <w:p>
      <w:pPr>
        <w:pStyle w:val="Nagwek2"/>
        <w:ind w:start="576" w:hanging="576"/>
        <w:rPr>
          <w:rStyle w:val="ColonagowekZnak"/>
          <w:b/>
          <w:b/>
          <w:bCs/>
          <w:color w:val="002060"/>
        </w:rPr>
      </w:pPr>
      <w:bookmarkStart w:id="50" w:name="_Toc182663391"/>
      <w:r>
        <w:rPr>
          <w:rStyle w:val="ColonagowekZnak"/>
          <w:b/>
          <w:bCs/>
          <w:color w:val="002060"/>
        </w:rPr>
        <w:t>WYTYCZNE AKUSTYCZNE</w:t>
      </w:r>
      <w:bookmarkEnd w:id="50"/>
    </w:p>
    <w:p>
      <w:pPr>
        <w:pStyle w:val="Colozwyky1"/>
        <w:jc w:val="center"/>
        <w:rPr>
          <w:rFonts w:cs="Verdana"/>
        </w:rPr>
      </w:pPr>
      <w:r>
        <w:rPr/>
        <w:drawing>
          <wp:inline distT="0" distB="0" distL="0" distR="0">
            <wp:extent cx="3949700" cy="2533650"/>
            <wp:effectExtent l="0" t="0" r="0" b="0"/>
            <wp:docPr id="8" name="Obraz8" descr="Obraz zawierający Prostokąt, kostka/sześcian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8" descr="Obraz zawierający Prostokąt, kostka/sześcian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Widok aksonometryczny Sali sportowej wraz z lokalizacja materiałów akustycznyh  </w:t>
      </w:r>
    </w:p>
    <w:p>
      <w:pPr>
        <w:pStyle w:val="Normal"/>
        <w:spacing w:lineRule="auto" w:line="360"/>
        <w:rPr>
          <w:b/>
          <w:b/>
          <w:bCs/>
        </w:rPr>
      </w:pPr>
      <w:r>
        <w:rPr>
          <w:b/>
          <w:bCs/>
        </w:rPr>
      </w:r>
    </w:p>
    <w:p>
      <w:pPr>
        <w:pStyle w:val="Normal"/>
        <w:spacing w:lineRule="auto" w:line="360"/>
        <w:jc w:val="end"/>
        <w:rPr>
          <w:rFonts w:ascii="Verdana" w:hAnsi="Verdana"/>
          <w:b/>
          <w:b/>
          <w:bCs/>
          <w:sz w:val="20"/>
          <w:szCs w:val="20"/>
        </w:rPr>
      </w:pPr>
      <w:r>
        <w:rPr/>
        <w:drawing>
          <wp:inline distT="0" distB="0" distL="0" distR="0">
            <wp:extent cx="3724275" cy="2570480"/>
            <wp:effectExtent l="0" t="0" r="0" b="0"/>
            <wp:docPr id="9" name="Obraz9" descr="Obraz zawierający Prostokąt, design, architektura, budynek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9" descr="Obraz zawierający Prostokąt, design, architektura, budynek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Widok aksonometryczny Sali sportowej wraz z lokalizacja materiałów akustycznyh  </w:t>
      </w:r>
    </w:p>
    <w:p>
      <w:pPr>
        <w:pStyle w:val="Normal"/>
        <w:spacing w:lineRule="auto" w:line="360"/>
        <w:jc w:val="end"/>
        <w:rPr>
          <w:rFonts w:ascii="Verdana" w:hAnsi="Verdana"/>
          <w:b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"/>
        <w:spacing w:lineRule="auto" w:line="360"/>
        <w:rPr>
          <w:rFonts w:ascii="Verdana" w:hAnsi="Verdana" w:cs="Verdana"/>
          <w:b/>
          <w:b/>
          <w:bCs/>
          <w:sz w:val="28"/>
          <w:szCs w:val="28"/>
        </w:rPr>
      </w:pPr>
      <w:r>
        <w:rPr>
          <w:rFonts w:ascii="Verdana" w:hAnsi="Verdana"/>
          <w:b/>
          <w:bCs/>
          <w:sz w:val="20"/>
          <w:szCs w:val="20"/>
        </w:rPr>
        <w:t>Założenia do prac adaptacyjnych</w:t>
      </w:r>
    </w:p>
    <w:p>
      <w:pPr>
        <w:pStyle w:val="Colozwyky1"/>
        <w:rPr>
          <w:rFonts w:cs="Verdana"/>
        </w:rPr>
      </w:pPr>
      <w:r>
        <w:rPr>
          <w:rFonts w:cs="Verdana"/>
        </w:rPr>
        <w:t>Wszystkie przedstawione w niniejszym opracowaniu zestawienia powierzchni przyjętych do symulacji materiałów akustycznych są powierzchniami minimalnymi, jakie należy zastosować celem osiągnięcia zakładanych parametrów pogłosowych. Opisywane zestawienia powierzchni są powierzchniami o dobranych współczynnikach pochłaninia dżwięku. Dopuszcza się odstępstwo w zakresie ich zwiększenia jedynie do 10%.</w:t>
      </w:r>
    </w:p>
    <w:p>
      <w:pPr>
        <w:pStyle w:val="Colozwyky1"/>
        <w:rPr>
          <w:rFonts w:cs="Verdana"/>
        </w:rPr>
      </w:pPr>
      <w:r>
        <w:rPr>
          <w:rFonts w:cs="Verdana"/>
        </w:rPr>
        <w:t>Salę sportową rozpatrywano pod kątem doboru materiałowego jak dla akustyki naturalnej bez dodatkowego nagłośnienia. Powyższe nie oznacza, że sala nie potrzebuje dodatkowego nagłośnienia, co wynika z map akustycznych i komentarza na końcu opracowania.</w:t>
      </w:r>
    </w:p>
    <w:p>
      <w:pPr>
        <w:pStyle w:val="Colozwyky1"/>
        <w:rPr>
          <w:rFonts w:cs="Verdana"/>
        </w:rPr>
      </w:pPr>
      <w:r>
        <w:rPr>
          <w:rFonts w:cs="Verdana"/>
        </w:rPr>
        <w:t>Wskazanie na tle geometrii sali układu i umiejscowienia przyjętych do symulacji materiałów akustycznych wraz z charakterystyką ich pochłaniania dźwięku w oktawowych pasmach częstotliwości podano w zakresie od 125 Hz do 4000 Hz.</w:t>
      </w:r>
    </w:p>
    <w:p>
      <w:pPr>
        <w:pStyle w:val="Colozwyky1"/>
        <w:rPr>
          <w:rFonts w:cs="Verdana"/>
        </w:rPr>
      </w:pPr>
      <w:r>
        <w:rPr>
          <w:rFonts w:cs="Verdana"/>
        </w:rPr>
      </w:r>
    </w:p>
    <w:p>
      <w:pPr>
        <w:pStyle w:val="Nagwek2"/>
        <w:ind w:start="576" w:hanging="576"/>
        <w:rPr>
          <w:color w:val="FF0000"/>
        </w:rPr>
      </w:pPr>
      <w:bookmarkStart w:id="51" w:name="_Toc182663392"/>
      <w:r>
        <w:rPr>
          <w:color w:val="FF0000"/>
        </w:rPr>
        <w:t>SALA SPORTOWA</w:t>
      </w:r>
      <w:bookmarkEnd w:id="51"/>
    </w:p>
    <w:p>
      <w:pPr>
        <w:pStyle w:val="NoSpacing"/>
        <w:rPr>
          <w:rFonts w:ascii="Verdana" w:hAnsi="Verdana"/>
          <w:b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>Objętość Sali sportowej: około 9.450,00 m3</w:t>
      </w:r>
    </w:p>
    <w:p>
      <w:pPr>
        <w:pStyle w:val="NoSpacing"/>
        <w:rPr>
          <w:rFonts w:ascii="Verdana" w:hAnsi="Verdana"/>
          <w:b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>Widownia założono współczynniki pochłaniania jak dla Sali pustej – wartości mierzalne</w:t>
      </w:r>
    </w:p>
    <w:p>
      <w:pPr>
        <w:pStyle w:val="Colo11"/>
        <w:ind w:start="349" w:hanging="0"/>
        <w:rPr/>
      </w:pPr>
      <w:r>
        <w:rPr/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6120130" cy="3134995"/>
            <wp:effectExtent l="0" t="0" r="0" b="0"/>
            <wp:docPr id="10" name="Obraz10" descr="Obraz zawierający szkic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10" descr="Obraz zawierający szkic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</w:t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posadzki   </w:t>
      </w:r>
    </w:p>
    <w:p>
      <w:pPr>
        <w:pStyle w:val="Colozwyky1"/>
        <w:rPr>
          <w:lang w:eastAsia="pl-PL"/>
        </w:rPr>
      </w:pPr>
      <w:r>
        <w:rPr>
          <w:lang w:eastAsia="pl-PL"/>
        </w:rPr>
        <w:t>Przyjęte do symulacji i specyfikowane materiały posadzkowe oznaczone kolorem szarym</w:t>
      </w:r>
    </w:p>
    <w:tbl>
      <w:tblPr>
        <w:tblW w:w="9913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111"/>
        <w:gridCol w:w="1416"/>
        <w:gridCol w:w="1424"/>
        <w:gridCol w:w="992"/>
        <w:gridCol w:w="993"/>
        <w:gridCol w:w="1134"/>
        <w:gridCol w:w="1842"/>
      </w:tblGrid>
      <w:tr>
        <w:trPr>
          <w:trHeight w:val="240" w:hRule="atLeast"/>
        </w:trPr>
        <w:tc>
          <w:tcPr>
            <w:tcW w:w="2111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Proponowany materiał</w:t>
            </w:r>
          </w:p>
        </w:tc>
        <w:tc>
          <w:tcPr>
            <w:tcW w:w="1416" w:type="dxa"/>
            <w:tcBorders>
              <w:top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cwk</w:t>
            </w:r>
          </w:p>
        </w:tc>
        <w:tc>
          <w:tcPr>
            <w:tcW w:w="6385" w:type="dxa"/>
            <w:gridSpan w:val="5"/>
            <w:tcBorders>
              <w:top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808080" w:themeColor="background1" w:themeShade="80"/>
                <w:sz w:val="18"/>
                <w:szCs w:val="18"/>
              </w:rPr>
              <w:t xml:space="preserve">Podłoga sportowa drewniana na legarach </w:t>
            </w:r>
          </w:p>
        </w:tc>
      </w:tr>
      <w:tr>
        <w:trPr>
          <w:trHeight w:val="344" w:hRule="atLeast"/>
        </w:trPr>
        <w:tc>
          <w:tcPr>
            <w:tcW w:w="2111" w:type="dxa"/>
            <w:vMerge w:val="restart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Konstrukcja</w:t>
            </w:r>
          </w:p>
        </w:tc>
        <w:tc>
          <w:tcPr>
            <w:tcW w:w="1416" w:type="dxa"/>
            <w:vMerge w:val="restart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całkowita wysokość konstrukcyjna ustroju 20 mm</w:t>
            </w:r>
          </w:p>
        </w:tc>
        <w:tc>
          <w:tcPr>
            <w:tcW w:w="6385" w:type="dxa"/>
            <w:gridSpan w:val="5"/>
            <w:tcBorders>
              <w:top w:val="single" w:sz="8" w:space="0" w:color="000000"/>
              <w:start w:val="single" w:sz="4" w:space="0" w:color="000000"/>
              <w:end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~podłoga sportowa drewniana</w:t>
            </w:r>
          </w:p>
        </w:tc>
      </w:tr>
      <w:tr>
        <w:trPr>
          <w:trHeight w:val="229" w:hRule="atLeast"/>
        </w:trPr>
        <w:tc>
          <w:tcPr>
            <w:tcW w:w="211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141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6385" w:type="dxa"/>
            <w:gridSpan w:val="5"/>
            <w:tcBorders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 xml:space="preserve">~legary drewniane  </w:t>
            </w:r>
          </w:p>
        </w:tc>
      </w:tr>
      <w:tr>
        <w:trPr>
          <w:trHeight w:val="438" w:hRule="atLeast"/>
        </w:trPr>
        <w:tc>
          <w:tcPr>
            <w:tcW w:w="211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141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6385" w:type="dxa"/>
            <w:gridSpan w:val="5"/>
            <w:tcBorders>
              <w:start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~istniejąca posadzka betonowa</w:t>
            </w:r>
          </w:p>
        </w:tc>
      </w:tr>
      <w:tr>
        <w:trPr>
          <w:trHeight w:val="240" w:hRule="atLeast"/>
        </w:trPr>
        <w:tc>
          <w:tcPr>
            <w:tcW w:w="8070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Wymagane wartości współczynnika pochłaniania dźwięku</w:t>
            </w:r>
          </w:p>
        </w:tc>
        <w:tc>
          <w:tcPr>
            <w:tcW w:w="1842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894,60 m2</w:t>
            </w:r>
          </w:p>
        </w:tc>
      </w:tr>
      <w:tr>
        <w:trPr>
          <w:trHeight w:val="229" w:hRule="atLeast"/>
        </w:trPr>
        <w:tc>
          <w:tcPr>
            <w:tcW w:w="2111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f [Hz]</w:t>
            </w:r>
          </w:p>
        </w:tc>
        <w:tc>
          <w:tcPr>
            <w:tcW w:w="1416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42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250</w:t>
            </w:r>
          </w:p>
        </w:tc>
        <w:tc>
          <w:tcPr>
            <w:tcW w:w="992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500</w:t>
            </w:r>
          </w:p>
        </w:tc>
        <w:tc>
          <w:tcPr>
            <w:tcW w:w="99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1842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4000</w:t>
            </w:r>
          </w:p>
        </w:tc>
      </w:tr>
      <w:tr>
        <w:trPr>
          <w:trHeight w:val="240" w:hRule="atLeast"/>
        </w:trPr>
        <w:tc>
          <w:tcPr>
            <w:tcW w:w="2111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α (±10%)</w:t>
            </w:r>
          </w:p>
        </w:tc>
        <w:tc>
          <w:tcPr>
            <w:tcW w:w="1416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424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0,11</w:t>
            </w:r>
          </w:p>
        </w:tc>
        <w:tc>
          <w:tcPr>
            <w:tcW w:w="992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0,10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0,07</w:t>
            </w:r>
          </w:p>
        </w:tc>
      </w:tr>
    </w:tbl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Przyjęte do symulacji i specyfikowane materiały ścienne oznaczone kolorem miodowym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5971540" cy="2529205"/>
            <wp:effectExtent l="0" t="0" r="0" b="0"/>
            <wp:docPr id="11" name="Obraz11" descr="Obraz zawierający szkic, rysowanie, design, klatk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11" descr="Obraz zawierający szkic, rysowanie, design, klatk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okładzin ściennych perforowanych  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6120130" cy="2496185"/>
            <wp:effectExtent l="0" t="0" r="0" b="0"/>
            <wp:docPr id="12" name="Obraz12" descr="Obraz zawierający szkic, rysowanie, diagram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12" descr="Obraz zawierający szkic, rysowanie, diagram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okładzin ściennych perforowanych  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5807075" cy="3122930"/>
            <wp:effectExtent l="0" t="0" r="0" b="0"/>
            <wp:docPr id="13" name="Obraz13" descr="Obraz zawierający Prostokąt, rysowanie, design, sztuk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13" descr="Obraz zawierający Prostokąt, rysowanie, design, sztuk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6257925" cy="3526790"/>
            <wp:effectExtent l="0" t="0" r="0" b="0"/>
            <wp:docPr id="14" name="Obraz14" descr="Obraz zawierający Prostokąt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14" descr="Obraz zawierający Prostokąt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2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okładzin ściennych perforowanych  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Ściany w sali sportowej od poziomu posadzki sportowej do wysokości 4 m wykonać wg poniższej specyfikacji:</w:t>
      </w:r>
    </w:p>
    <w:tbl>
      <w:tblPr>
        <w:tblW w:w="9771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091"/>
        <w:gridCol w:w="1286"/>
        <w:gridCol w:w="1290"/>
        <w:gridCol w:w="1135"/>
        <w:gridCol w:w="1134"/>
        <w:gridCol w:w="1133"/>
        <w:gridCol w:w="1701"/>
      </w:tblGrid>
      <w:tr>
        <w:trPr>
          <w:trHeight w:val="244" w:hRule="atLeast"/>
        </w:trPr>
        <w:tc>
          <w:tcPr>
            <w:tcW w:w="2091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Proponowany materiał</w:t>
            </w:r>
          </w:p>
        </w:tc>
        <w:tc>
          <w:tcPr>
            <w:tcW w:w="1286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cwk</w:t>
            </w:r>
          </w:p>
        </w:tc>
        <w:tc>
          <w:tcPr>
            <w:tcW w:w="6393" w:type="dxa"/>
            <w:gridSpan w:val="5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b/>
                <w:b/>
                <w:bCs/>
                <w:color w:val="833C0B" w:themeColor="accent2" w:themeShade="80"/>
                <w:sz w:val="14"/>
                <w:szCs w:val="14"/>
              </w:rPr>
            </w:pPr>
            <w:r>
              <w:rPr>
                <w:rFonts w:ascii="Verdana" w:hAnsi="Verdana"/>
                <w:b/>
                <w:bCs/>
                <w:color w:val="833C0B" w:themeColor="accent2" w:themeShade="80"/>
                <w:sz w:val="14"/>
                <w:szCs w:val="14"/>
              </w:rPr>
              <w:t>płyta perforowana gr od 15 - 19 mm zabezpieczona do klasy B, s1 d-0</w:t>
            </w:r>
          </w:p>
        </w:tc>
      </w:tr>
      <w:tr>
        <w:trPr>
          <w:trHeight w:val="570" w:hRule="atLeast"/>
        </w:trPr>
        <w:tc>
          <w:tcPr>
            <w:tcW w:w="2091" w:type="dxa"/>
            <w:vMerge w:val="restart"/>
            <w:tcBorders>
              <w:top w:val="single" w:sz="4" w:space="0" w:color="000000"/>
              <w:start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Konstrukcja</w:t>
            </w:r>
          </w:p>
        </w:tc>
        <w:tc>
          <w:tcPr>
            <w:tcW w:w="1286" w:type="dxa"/>
            <w:vMerge w:val="restart"/>
            <w:tcBorders>
              <w:top w:val="single" w:sz="4" w:space="0" w:color="000000"/>
              <w:star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całkowita wysokość konstrukcyjna ustroju 70 mm</w:t>
            </w:r>
          </w:p>
        </w:tc>
        <w:tc>
          <w:tcPr>
            <w:tcW w:w="6393" w:type="dxa"/>
            <w:gridSpan w:val="5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 xml:space="preserve">~płyta sklejkowa gr 19 mm wykończeniowa perforowana wzdłużnie z perforacją wewnętrzną wg wzoru biura projektowego </w:t>
            </w:r>
          </w:p>
        </w:tc>
      </w:tr>
      <w:tr>
        <w:trPr>
          <w:trHeight w:val="233" w:hRule="atLeast"/>
        </w:trPr>
        <w:tc>
          <w:tcPr>
            <w:tcW w:w="2091" w:type="dxa"/>
            <w:vMerge w:val="continue"/>
            <w:tcBorders>
              <w:top w:val="single" w:sz="4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1286" w:type="dxa"/>
            <w:vMerge w:val="continue"/>
            <w:tcBorders>
              <w:top w:val="single" w:sz="4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6393" w:type="dxa"/>
            <w:gridSpan w:val="5"/>
            <w:tcBorders>
              <w:top w:val="single" w:sz="4" w:space="0" w:color="000000"/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 xml:space="preserve">~flizelina akustyczna </w:t>
            </w:r>
          </w:p>
        </w:tc>
      </w:tr>
      <w:tr>
        <w:trPr>
          <w:trHeight w:val="233" w:hRule="atLeast"/>
        </w:trPr>
        <w:tc>
          <w:tcPr>
            <w:tcW w:w="209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128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6393" w:type="dxa"/>
            <w:gridSpan w:val="5"/>
            <w:tcBorders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~konstrukcja drewniana ze sklejki gr 15 mm zabezpieczona p.poż</w:t>
            </w:r>
          </w:p>
        </w:tc>
      </w:tr>
      <w:tr>
        <w:trPr>
          <w:trHeight w:val="233" w:hRule="atLeast"/>
        </w:trPr>
        <w:tc>
          <w:tcPr>
            <w:tcW w:w="209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128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6393" w:type="dxa"/>
            <w:gridSpan w:val="5"/>
            <w:tcBorders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~pustka powietrzna 30 mm</w:t>
            </w:r>
          </w:p>
        </w:tc>
      </w:tr>
      <w:tr>
        <w:trPr>
          <w:trHeight w:val="233" w:hRule="atLeast"/>
        </w:trPr>
        <w:tc>
          <w:tcPr>
            <w:tcW w:w="209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128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6393" w:type="dxa"/>
            <w:gridSpan w:val="5"/>
            <w:tcBorders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~wełna mineralna gr 20 mm o gęstości około 60,00 kg/m3</w:t>
            </w:r>
          </w:p>
        </w:tc>
      </w:tr>
      <w:tr>
        <w:trPr>
          <w:trHeight w:val="244" w:hRule="atLeast"/>
        </w:trPr>
        <w:tc>
          <w:tcPr>
            <w:tcW w:w="209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1286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</w:r>
          </w:p>
        </w:tc>
        <w:tc>
          <w:tcPr>
            <w:tcW w:w="6393" w:type="dxa"/>
            <w:gridSpan w:val="5"/>
            <w:tcBorders>
              <w:start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~istniejąca ściana</w:t>
            </w:r>
          </w:p>
        </w:tc>
      </w:tr>
      <w:tr>
        <w:trPr>
          <w:trHeight w:val="244" w:hRule="atLeast"/>
        </w:trPr>
        <w:tc>
          <w:tcPr>
            <w:tcW w:w="8069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Wymagane wartości współczynnika pochłaniania dźwięku</w:t>
            </w:r>
          </w:p>
        </w:tc>
        <w:tc>
          <w:tcPr>
            <w:tcW w:w="1701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441,40 m2</w:t>
            </w:r>
          </w:p>
        </w:tc>
      </w:tr>
      <w:tr>
        <w:trPr>
          <w:trHeight w:val="233" w:hRule="atLeast"/>
        </w:trPr>
        <w:tc>
          <w:tcPr>
            <w:tcW w:w="2091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f [Hz]</w:t>
            </w:r>
          </w:p>
        </w:tc>
        <w:tc>
          <w:tcPr>
            <w:tcW w:w="1286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290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250</w:t>
            </w:r>
          </w:p>
        </w:tc>
        <w:tc>
          <w:tcPr>
            <w:tcW w:w="1135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500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13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2000</w:t>
            </w:r>
          </w:p>
        </w:tc>
        <w:tc>
          <w:tcPr>
            <w:tcW w:w="1701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000000"/>
                <w:sz w:val="16"/>
                <w:szCs w:val="16"/>
              </w:rPr>
              <w:t>4000</w:t>
            </w:r>
          </w:p>
        </w:tc>
      </w:tr>
      <w:tr>
        <w:trPr>
          <w:trHeight w:val="244" w:hRule="atLeast"/>
        </w:trPr>
        <w:tc>
          <w:tcPr>
            <w:tcW w:w="2091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α (±10%)</w:t>
            </w:r>
          </w:p>
        </w:tc>
        <w:tc>
          <w:tcPr>
            <w:tcW w:w="1286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0,60</w:t>
            </w:r>
          </w:p>
        </w:tc>
        <w:tc>
          <w:tcPr>
            <w:tcW w:w="1290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1135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 xml:space="preserve">0,39 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 xml:space="preserve">0,34 </w:t>
            </w:r>
          </w:p>
        </w:tc>
        <w:tc>
          <w:tcPr>
            <w:tcW w:w="1133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 xml:space="preserve">0,36 </w:t>
            </w:r>
          </w:p>
        </w:tc>
        <w:tc>
          <w:tcPr>
            <w:tcW w:w="1701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6"/>
                <w:szCs w:val="16"/>
              </w:rPr>
            </w:pPr>
            <w:r>
              <w:rPr>
                <w:rFonts w:ascii="Verdana" w:hAnsi="Verdana"/>
                <w:color w:val="000000"/>
                <w:sz w:val="16"/>
                <w:szCs w:val="16"/>
              </w:rPr>
              <w:t>0,39</w:t>
            </w:r>
          </w:p>
        </w:tc>
      </w:tr>
    </w:tbl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Przyjęte do symulacji i specyfikowane materiały szklane oznaczone kolorem błękitnym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2398395"/>
            <wp:effectExtent l="0" t="0" r="0" b="0"/>
            <wp:docPr id="15" name="Obraz15" descr="Obraz zawierający szkic, Prostokąt, rysowanie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15" descr="Obraz zawierający szkic, Prostokąt, rysowanie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39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okładzin szklanych   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2861945"/>
            <wp:effectExtent l="0" t="0" r="0" b="0"/>
            <wp:docPr id="16" name="Obraz16" descr="Obraz zawierający szkic, rysowanie, Prostokąt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16" descr="Obraz zawierający szkic, rysowanie, Prostokąt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okładzin szklanych   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tbl>
      <w:tblPr>
        <w:tblW w:w="961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111"/>
        <w:gridCol w:w="1415"/>
        <w:gridCol w:w="863"/>
        <w:gridCol w:w="864"/>
        <w:gridCol w:w="1130"/>
        <w:gridCol w:w="1131"/>
        <w:gridCol w:w="2103"/>
      </w:tblGrid>
      <w:tr>
        <w:trPr>
          <w:trHeight w:val="240" w:hRule="atLeast"/>
        </w:trPr>
        <w:tc>
          <w:tcPr>
            <w:tcW w:w="2111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Proponowany materiał</w:t>
            </w:r>
          </w:p>
        </w:tc>
        <w:tc>
          <w:tcPr>
            <w:tcW w:w="1415" w:type="dxa"/>
            <w:tcBorders>
              <w:top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cwk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2E74B5" w:themeColor="accent1" w:themeShade="bf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2E74B5" w:themeColor="accent1" w:themeShade="bf"/>
                <w:sz w:val="18"/>
                <w:szCs w:val="18"/>
              </w:rPr>
              <w:t>Zestawy szybowe  i balustrady szklane</w:t>
            </w:r>
          </w:p>
        </w:tc>
      </w:tr>
      <w:tr>
        <w:trPr>
          <w:trHeight w:val="344" w:hRule="atLeast"/>
        </w:trPr>
        <w:tc>
          <w:tcPr>
            <w:tcW w:w="2111" w:type="dxa"/>
            <w:vMerge w:val="restart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Konstrukcja</w:t>
            </w:r>
          </w:p>
        </w:tc>
        <w:tc>
          <w:tcPr>
            <w:tcW w:w="1415" w:type="dxa"/>
            <w:vMerge w:val="restart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start w:val="single" w:sz="4" w:space="0" w:color="000000"/>
              <w:end w:val="single" w:sz="8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</w:tr>
      <w:tr>
        <w:trPr>
          <w:trHeight w:val="229" w:hRule="atLeast"/>
        </w:trPr>
        <w:tc>
          <w:tcPr>
            <w:tcW w:w="211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1415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6091" w:type="dxa"/>
            <w:gridSpan w:val="5"/>
            <w:tcBorders>
              <w:start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</w:tr>
      <w:tr>
        <w:trPr>
          <w:trHeight w:val="438" w:hRule="atLeast"/>
        </w:trPr>
        <w:tc>
          <w:tcPr>
            <w:tcW w:w="2111" w:type="dxa"/>
            <w:vMerge w:val="continue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1415" w:type="dxa"/>
            <w:vMerge w:val="continue"/>
            <w:tcBorders>
              <w:top w:val="single" w:sz="8" w:space="0" w:color="000000"/>
              <w:start w:val="single" w:sz="8" w:space="0" w:color="000000"/>
              <w:bottom w:val="single" w:sz="8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  <w:tc>
          <w:tcPr>
            <w:tcW w:w="6091" w:type="dxa"/>
            <w:gridSpan w:val="5"/>
            <w:tcBorders>
              <w:start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</w:r>
          </w:p>
        </w:tc>
      </w:tr>
      <w:tr>
        <w:trPr>
          <w:trHeight w:val="240" w:hRule="atLeast"/>
        </w:trPr>
        <w:tc>
          <w:tcPr>
            <w:tcW w:w="7514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Wymagane wartości współczynnika pochłaniania dźwięku</w:t>
            </w:r>
          </w:p>
        </w:tc>
        <w:tc>
          <w:tcPr>
            <w:tcW w:w="2103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239,10 m2</w:t>
            </w:r>
          </w:p>
        </w:tc>
      </w:tr>
      <w:tr>
        <w:trPr>
          <w:trHeight w:val="229" w:hRule="atLeast"/>
        </w:trPr>
        <w:tc>
          <w:tcPr>
            <w:tcW w:w="2111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f [Hz]</w:t>
            </w:r>
          </w:p>
        </w:tc>
        <w:tc>
          <w:tcPr>
            <w:tcW w:w="1415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125</w:t>
            </w:r>
          </w:p>
        </w:tc>
        <w:tc>
          <w:tcPr>
            <w:tcW w:w="86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250</w:t>
            </w:r>
          </w:p>
        </w:tc>
        <w:tc>
          <w:tcPr>
            <w:tcW w:w="86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500</w:t>
            </w:r>
          </w:p>
        </w:tc>
        <w:tc>
          <w:tcPr>
            <w:tcW w:w="1130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1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103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4000</w:t>
            </w:r>
          </w:p>
        </w:tc>
      </w:tr>
      <w:tr>
        <w:trPr>
          <w:trHeight w:val="240" w:hRule="atLeast"/>
        </w:trPr>
        <w:tc>
          <w:tcPr>
            <w:tcW w:w="2111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α (±10%)</w:t>
            </w:r>
          </w:p>
        </w:tc>
        <w:tc>
          <w:tcPr>
            <w:tcW w:w="1415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0,10</w:t>
            </w:r>
          </w:p>
        </w:tc>
        <w:tc>
          <w:tcPr>
            <w:tcW w:w="863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0,07</w:t>
            </w:r>
          </w:p>
        </w:tc>
        <w:tc>
          <w:tcPr>
            <w:tcW w:w="86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130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0,03</w:t>
            </w:r>
          </w:p>
        </w:tc>
        <w:tc>
          <w:tcPr>
            <w:tcW w:w="1131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0,02</w:t>
            </w:r>
          </w:p>
        </w:tc>
        <w:tc>
          <w:tcPr>
            <w:tcW w:w="2103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0,02</w:t>
            </w:r>
          </w:p>
        </w:tc>
      </w:tr>
    </w:tbl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 xml:space="preserve">Przyjęte do symulacji i specyfikowane materiały ścienne – tynki akustyczne oznaczone kolorem żółtym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6120130" cy="2137410"/>
            <wp:effectExtent l="0" t="0" r="0" b="0"/>
            <wp:docPr id="17" name="Obraz17" descr="Obraz zawierający szkic, rysowanie, diagram, Równolegle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17" descr="Obraz zawierający szkic, rysowanie, diagram, Równolegle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tynków akustycznych   </w:t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2647950"/>
            <wp:effectExtent l="0" t="0" r="0" b="0"/>
            <wp:docPr id="18" name="Obraz18" descr="Obraz zawierający szkic, rysowanie, diagram, sztuk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18" descr="Obraz zawierający szkic, rysowanie, diagram, sztuk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Sali sportowej wraz z lokalizacją tynków akustycznych   </w:t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18860" cy="2683510"/>
            <wp:effectExtent l="0" t="0" r="0" b="0"/>
            <wp:docPr id="19" name="Obraz19" descr="Obraz zawierający Prostokąt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19" descr="Obraz zawierający Prostokąt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ściany z oknami Sali sportowej wraz z lokalizacją nad oknami tynków akustycznych   </w:t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3947795"/>
            <wp:effectExtent l="0" t="0" r="0" b="0"/>
            <wp:docPr id="20" name="Obraz20" descr="Obraz zawierający zrzut ekranu, Prostokąt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20" descr="Obraz zawierający zrzut ekranu, Prostokąt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sufitu Sali sportowej wraz z lokalizacją tynków akustycznych   </w:t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2814320"/>
            <wp:effectExtent l="0" t="0" r="0" b="0"/>
            <wp:docPr id="21" name="Obraz21" descr="Obraz zawierający zrzut ekranu, Prostokąt, Równolegle, lini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21" descr="Obraz zawierający zrzut ekranu, Prostokąt, Równolegle, lini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lang w:eastAsia="pl-PL"/>
        </w:rPr>
      </w:pPr>
      <w:r>
        <w:rPr>
          <w:rFonts w:cs="Verdana"/>
          <w:sz w:val="14"/>
          <w:szCs w:val="14"/>
        </w:rPr>
        <w:t xml:space="preserve">Widok aksonometryczny ściany z balkonem Sali sportowej wraz z lokalizacją nad i obok balkonu tynków akustycznych   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Tynki akustyczne na opisywanych ścianach wykonać wg poniższej specyfikacji:</w:t>
      </w:r>
    </w:p>
    <w:tbl>
      <w:tblPr>
        <w:tblW w:w="961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112"/>
        <w:gridCol w:w="1414"/>
        <w:gridCol w:w="863"/>
        <w:gridCol w:w="864"/>
        <w:gridCol w:w="1130"/>
        <w:gridCol w:w="1131"/>
        <w:gridCol w:w="2103"/>
      </w:tblGrid>
      <w:tr>
        <w:trPr>
          <w:trHeight w:val="240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Proponowany materiał</w:t>
            </w:r>
          </w:p>
        </w:tc>
        <w:tc>
          <w:tcPr>
            <w:tcW w:w="1414" w:type="dxa"/>
            <w:tcBorders>
              <w:top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cwk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FFC000"/>
                <w:sz w:val="18"/>
                <w:szCs w:val="18"/>
              </w:rPr>
              <w:t xml:space="preserve">DIASEN </w:t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– tynk wapienno korkowy</w:t>
            </w:r>
          </w:p>
        </w:tc>
      </w:tr>
      <w:tr>
        <w:trPr>
          <w:trHeight w:val="240" w:hRule="atLeast"/>
        </w:trPr>
        <w:tc>
          <w:tcPr>
            <w:tcW w:w="7514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Wymagane wartości współczynnika pochłaniania dźwięku</w:t>
            </w:r>
          </w:p>
        </w:tc>
        <w:tc>
          <w:tcPr>
            <w:tcW w:w="2103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1288,90 m2</w:t>
            </w:r>
          </w:p>
        </w:tc>
      </w:tr>
      <w:tr>
        <w:trPr>
          <w:trHeight w:val="229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f [Hz]</w:t>
            </w:r>
          </w:p>
        </w:tc>
        <w:tc>
          <w:tcPr>
            <w:tcW w:w="141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125</w:t>
            </w:r>
          </w:p>
        </w:tc>
        <w:tc>
          <w:tcPr>
            <w:tcW w:w="86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250</w:t>
            </w:r>
          </w:p>
        </w:tc>
        <w:tc>
          <w:tcPr>
            <w:tcW w:w="86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500</w:t>
            </w:r>
          </w:p>
        </w:tc>
        <w:tc>
          <w:tcPr>
            <w:tcW w:w="1130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1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103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4000</w:t>
            </w:r>
          </w:p>
        </w:tc>
      </w:tr>
      <w:tr>
        <w:trPr>
          <w:trHeight w:val="240" w:hRule="atLeast"/>
        </w:trPr>
        <w:tc>
          <w:tcPr>
            <w:tcW w:w="2112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α (±10%)</w:t>
            </w:r>
          </w:p>
        </w:tc>
        <w:tc>
          <w:tcPr>
            <w:tcW w:w="1414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0,23</w:t>
            </w:r>
          </w:p>
        </w:tc>
        <w:tc>
          <w:tcPr>
            <w:tcW w:w="863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0,66</w:t>
            </w:r>
          </w:p>
        </w:tc>
        <w:tc>
          <w:tcPr>
            <w:tcW w:w="86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0,71</w:t>
            </w:r>
          </w:p>
        </w:tc>
        <w:tc>
          <w:tcPr>
            <w:tcW w:w="1130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0,78</w:t>
            </w:r>
          </w:p>
        </w:tc>
        <w:tc>
          <w:tcPr>
            <w:tcW w:w="1131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0,73</w:t>
            </w:r>
          </w:p>
        </w:tc>
        <w:tc>
          <w:tcPr>
            <w:tcW w:w="2103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0,59</w:t>
            </w:r>
          </w:p>
        </w:tc>
      </w:tr>
    </w:tbl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Przyjęte do symulacji i specyfikowane materiały – dźwigary stalowe ażurowe oznaczone kolorem wiśniowym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3218180"/>
            <wp:effectExtent l="0" t="0" r="0" b="0"/>
            <wp:docPr id="22" name="Obraz22" descr="Obraz zawierający Prostokąt, budynek, linia, design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22" descr="Obraz zawierający Prostokąt, budynek, linia, design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rPr>
          <w:lang w:eastAsia="pl-PL"/>
        </w:rPr>
      </w:pPr>
      <w:r>
        <w:rPr>
          <w:lang w:eastAsia="pl-PL"/>
        </w:rPr>
        <w:t>Dźwigary wykonać wg poniższej specyfikacji: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tbl>
      <w:tblPr>
        <w:tblW w:w="961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112"/>
        <w:gridCol w:w="1414"/>
        <w:gridCol w:w="863"/>
        <w:gridCol w:w="864"/>
        <w:gridCol w:w="1130"/>
        <w:gridCol w:w="1131"/>
        <w:gridCol w:w="2103"/>
      </w:tblGrid>
      <w:tr>
        <w:trPr>
          <w:trHeight w:val="240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Proponowany materiał</w:t>
            </w:r>
          </w:p>
        </w:tc>
        <w:tc>
          <w:tcPr>
            <w:tcW w:w="1414" w:type="dxa"/>
            <w:tcBorders>
              <w:top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cwk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851A05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851A05"/>
                <w:sz w:val="18"/>
                <w:szCs w:val="18"/>
              </w:rPr>
              <w:t xml:space="preserve">Dźwigary drewniane </w:t>
            </w:r>
          </w:p>
        </w:tc>
      </w:tr>
      <w:tr>
        <w:trPr>
          <w:trHeight w:val="240" w:hRule="atLeast"/>
        </w:trPr>
        <w:tc>
          <w:tcPr>
            <w:tcW w:w="7514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Wymagane wartości współczynnika pochłaniania dźwięku</w:t>
            </w:r>
          </w:p>
        </w:tc>
        <w:tc>
          <w:tcPr>
            <w:tcW w:w="2103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599,90 m2</w:t>
            </w:r>
          </w:p>
        </w:tc>
      </w:tr>
      <w:tr>
        <w:trPr>
          <w:trHeight w:val="229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f [Hz]</w:t>
            </w:r>
          </w:p>
        </w:tc>
        <w:tc>
          <w:tcPr>
            <w:tcW w:w="141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125</w:t>
            </w:r>
          </w:p>
        </w:tc>
        <w:tc>
          <w:tcPr>
            <w:tcW w:w="86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250</w:t>
            </w:r>
          </w:p>
        </w:tc>
        <w:tc>
          <w:tcPr>
            <w:tcW w:w="86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500</w:t>
            </w:r>
          </w:p>
        </w:tc>
        <w:tc>
          <w:tcPr>
            <w:tcW w:w="1130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1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103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4000</w:t>
            </w:r>
          </w:p>
        </w:tc>
      </w:tr>
      <w:tr>
        <w:trPr>
          <w:trHeight w:val="240" w:hRule="atLeast"/>
        </w:trPr>
        <w:tc>
          <w:tcPr>
            <w:tcW w:w="2112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α (±10%)</w:t>
            </w:r>
          </w:p>
        </w:tc>
        <w:tc>
          <w:tcPr>
            <w:tcW w:w="1414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63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86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130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131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2103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0,01</w:t>
            </w:r>
          </w:p>
        </w:tc>
      </w:tr>
    </w:tbl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  <w:t>Pozostałe przyjęte powierzchnie tynkowane materiałem wg poniższej specyfikacji:</w:t>
      </w:r>
    </w:p>
    <w:tbl>
      <w:tblPr>
        <w:tblW w:w="9618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  <w:tblLook w:firstRow="1" w:noVBand="1" w:lastRow="0" w:firstColumn="1" w:lastColumn="0" w:noHBand="0"/>
      </w:tblPr>
      <w:tblGrid>
        <w:gridCol w:w="2112"/>
        <w:gridCol w:w="1414"/>
        <w:gridCol w:w="863"/>
        <w:gridCol w:w="864"/>
        <w:gridCol w:w="1130"/>
        <w:gridCol w:w="1131"/>
        <w:gridCol w:w="2103"/>
      </w:tblGrid>
      <w:tr>
        <w:trPr>
          <w:trHeight w:val="240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Proponowany materiał</w:t>
            </w:r>
          </w:p>
        </w:tc>
        <w:tc>
          <w:tcPr>
            <w:tcW w:w="1414" w:type="dxa"/>
            <w:tcBorders>
              <w:top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cwk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851A05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851A05"/>
                <w:sz w:val="18"/>
                <w:szCs w:val="18"/>
              </w:rPr>
              <w:t xml:space="preserve">Tynk ścienny </w:t>
            </w:r>
          </w:p>
        </w:tc>
      </w:tr>
      <w:tr>
        <w:trPr>
          <w:trHeight w:val="240" w:hRule="atLeast"/>
        </w:trPr>
        <w:tc>
          <w:tcPr>
            <w:tcW w:w="7514" w:type="dxa"/>
            <w:gridSpan w:val="6"/>
            <w:tcBorders>
              <w:start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Wymagane wartości współczynnika pochłaniania dźwięku</w:t>
            </w:r>
          </w:p>
        </w:tc>
        <w:tc>
          <w:tcPr>
            <w:tcW w:w="2103" w:type="dxa"/>
            <w:tcBorders>
              <w:bottom w:val="single" w:sz="4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611,10 m2</w:t>
            </w:r>
          </w:p>
        </w:tc>
      </w:tr>
      <w:tr>
        <w:trPr>
          <w:trHeight w:val="229" w:hRule="atLeast"/>
        </w:trPr>
        <w:tc>
          <w:tcPr>
            <w:tcW w:w="2112" w:type="dxa"/>
            <w:tcBorders>
              <w:top w:val="single" w:sz="8" w:space="0" w:color="000000"/>
              <w:start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f [Hz]</w:t>
            </w:r>
          </w:p>
        </w:tc>
        <w:tc>
          <w:tcPr>
            <w:tcW w:w="141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125</w:t>
            </w:r>
          </w:p>
        </w:tc>
        <w:tc>
          <w:tcPr>
            <w:tcW w:w="863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250</w:t>
            </w:r>
          </w:p>
        </w:tc>
        <w:tc>
          <w:tcPr>
            <w:tcW w:w="864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500</w:t>
            </w:r>
          </w:p>
        </w:tc>
        <w:tc>
          <w:tcPr>
            <w:tcW w:w="1130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1131" w:type="dxa"/>
            <w:tcBorders>
              <w:top w:val="single" w:sz="8" w:space="0" w:color="000000"/>
              <w:bottom w:val="single" w:sz="4" w:space="0" w:color="000000"/>
              <w:end w:val="single" w:sz="4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103" w:type="dxa"/>
            <w:tcBorders>
              <w:top w:val="single" w:sz="8" w:space="0" w:color="000000"/>
              <w:bottom w:val="single" w:sz="4" w:space="0" w:color="000000"/>
              <w:end w:val="single" w:sz="8" w:space="0" w:color="000000"/>
            </w:tcBorders>
            <w:shd w:color="auto" w:fill="D9D9D9" w:themeFill="background1" w:themeFillShade="d9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b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4000</w:t>
            </w:r>
          </w:p>
        </w:tc>
      </w:tr>
      <w:tr>
        <w:trPr>
          <w:trHeight w:val="240" w:hRule="atLeast"/>
        </w:trPr>
        <w:tc>
          <w:tcPr>
            <w:tcW w:w="2112" w:type="dxa"/>
            <w:tcBorders>
              <w:start w:val="single" w:sz="8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α (±10%)</w:t>
            </w:r>
          </w:p>
        </w:tc>
        <w:tc>
          <w:tcPr>
            <w:tcW w:w="1414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0,14</w:t>
            </w:r>
          </w:p>
        </w:tc>
        <w:tc>
          <w:tcPr>
            <w:tcW w:w="863" w:type="dxa"/>
            <w:tcBorders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0,10</w:t>
            </w:r>
          </w:p>
        </w:tc>
        <w:tc>
          <w:tcPr>
            <w:tcW w:w="864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130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131" w:type="dxa"/>
            <w:tcBorders>
              <w:top w:val="single" w:sz="4" w:space="0" w:color="000000"/>
              <w:bottom w:val="single" w:sz="8" w:space="0" w:color="000000"/>
              <w:end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0,08</w:t>
            </w:r>
          </w:p>
        </w:tc>
        <w:tc>
          <w:tcPr>
            <w:tcW w:w="2103" w:type="dxa"/>
            <w:tcBorders>
              <w:top w:val="single" w:sz="4" w:space="0" w:color="000000"/>
              <w:bottom w:val="single" w:sz="8" w:space="0" w:color="000000"/>
              <w:end w:val="single" w:sz="8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jc w:val="center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0,08</w:t>
            </w:r>
          </w:p>
        </w:tc>
      </w:tr>
    </w:tbl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Nagwek2"/>
        <w:ind w:start="576" w:hanging="576"/>
        <w:rPr/>
      </w:pPr>
      <w:bookmarkStart w:id="52" w:name="_Toc182663393"/>
      <w:r>
        <w:rPr/>
        <w:t>Wyniki symulacji sali sportowe</w:t>
      </w:r>
      <w:bookmarkEnd w:id="52"/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Normal"/>
        <w:rPr>
          <w:lang w:eastAsia="ar-SA"/>
        </w:rPr>
      </w:pPr>
      <w:r>
        <w:rPr>
          <w:lang w:eastAsia="ar-SA"/>
        </w:rPr>
      </w:r>
    </w:p>
    <w:p>
      <w:pPr>
        <w:pStyle w:val="Colozwyky1"/>
        <w:jc w:val="center"/>
        <w:rPr>
          <w:rFonts w:cs="Verdana"/>
        </w:rPr>
      </w:pPr>
      <w:r>
        <w:rPr/>
        <w:drawing>
          <wp:inline distT="0" distB="0" distL="0" distR="0">
            <wp:extent cx="6120130" cy="3195320"/>
            <wp:effectExtent l="0" t="0" r="0" b="0"/>
            <wp:docPr id="23" name="Obraz23" descr="Obraz zawierający Wielobarwność, zrzut ekranu, Prostokąt, diagram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23" descr="Obraz zawierający Wielobarwność, zrzut ekranu, Prostokąt, diagram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czasu pogłosu T-30 ze żródłem w rogu sali 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jc w:val="center"/>
        <w:rPr>
          <w:rFonts w:cs="Verdana"/>
        </w:rPr>
      </w:pPr>
      <w:r>
        <w:rPr/>
        <w:drawing>
          <wp:inline distT="0" distB="0" distL="0" distR="0">
            <wp:extent cx="6120130" cy="3213100"/>
            <wp:effectExtent l="0" t="0" r="0" b="0"/>
            <wp:docPr id="24" name="Obraz24" descr="Obraz zawierający Wielobarwność, zrzut ekranu, diagram, lini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24" descr="Obraz zawierający Wielobarwność, zrzut ekranu, diagram, lini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wskażnika zrozumiałości mowy STI ze żródłem w rogu sali  </w:t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/>
        <w:drawing>
          <wp:inline distT="0" distB="0" distL="0" distR="0">
            <wp:extent cx="6120130" cy="3096895"/>
            <wp:effectExtent l="0" t="0" r="0" b="0"/>
            <wp:docPr id="25" name="Obraz25" descr="Obraz zawierający Wielobarwność, zrzut ekranu, żółty, kwadrat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25" descr="Obraz zawierający Wielobarwność, zrzut ekranu, żółty, kwadrat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czasu pogłosu T-30 ze źródłem na środku sali  </w:t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/>
        <w:drawing>
          <wp:inline distT="0" distB="0" distL="0" distR="0">
            <wp:extent cx="6120130" cy="3180715"/>
            <wp:effectExtent l="0" t="0" r="0" b="0"/>
            <wp:docPr id="26" name="Obraz26" descr="Obraz zawierający Wielobarwność, zrzut ekranu, diagram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26" descr="Obraz zawierający Wielobarwność, zrzut ekranu, diagram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wskażnika zrozumiałości mowy STI ze źródłem na środku sali  </w:t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rPr>
          <w:lang w:eastAsia="pl-PL"/>
        </w:rPr>
      </w:pPr>
      <w:r>
        <w:rPr/>
        <w:drawing>
          <wp:inline distT="0" distB="0" distL="0" distR="0">
            <wp:extent cx="6120130" cy="3145790"/>
            <wp:effectExtent l="0" t="0" r="0" b="0"/>
            <wp:docPr id="27" name="Obraz27" descr="Obraz zawierający zrzut ekranu, diagram, Wielobarwność, Grafika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27" descr="Obraz zawierający zrzut ekranu, diagram, Wielobarwność, Grafika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wskażnika zrozumiałości mowy STI ze źródłem na środku sali  </w:t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rPr>
          <w:lang w:eastAsia="pl-PL"/>
        </w:rPr>
      </w:pPr>
      <w:r>
        <w:rPr>
          <w:lang w:eastAsia="pl-PL"/>
        </w:rPr>
      </w:r>
    </w:p>
    <w:p>
      <w:pPr>
        <w:pStyle w:val="Colozwyky1"/>
        <w:jc w:val="center"/>
        <w:rPr>
          <w:rFonts w:cs="Verdana"/>
        </w:rPr>
      </w:pPr>
      <w:r>
        <w:rPr/>
        <w:drawing>
          <wp:inline distT="0" distB="0" distL="0" distR="0">
            <wp:extent cx="6120130" cy="3102610"/>
            <wp:effectExtent l="0" t="0" r="0" b="0"/>
            <wp:docPr id="28" name="Obraz28" descr="Obraz zawierający Wielobarwność, żółty, Prostokąt, diagram&#10;&#10;Opis wygenerowany automatyczni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28" descr="Obraz zawierający Wielobarwność, żółty, Prostokąt, diagram&#10;&#10;Opis wygenerowany automatycznie" title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Colozwyky1"/>
        <w:jc w:val="center"/>
        <w:rPr>
          <w:rFonts w:cs="Verdana"/>
          <w:sz w:val="14"/>
          <w:szCs w:val="14"/>
        </w:rPr>
      </w:pPr>
      <w:r>
        <w:rPr>
          <w:rFonts w:cs="Verdana"/>
          <w:sz w:val="14"/>
          <w:szCs w:val="14"/>
        </w:rPr>
        <w:t xml:space="preserve">Osiągnięte w drodze symulacji wartości czasu pogłosu T-20 ze źródłem na środku sali  </w:t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podrozdzial"/>
        <w:numPr>
          <w:ilvl w:val="0"/>
          <w:numId w:val="0"/>
        </w:numPr>
        <w:ind w:start="1080" w:hanging="0"/>
        <w:rPr/>
      </w:pPr>
      <w:r>
        <w:rPr/>
      </w:r>
    </w:p>
    <w:p>
      <w:pPr>
        <w:pStyle w:val="Nagwek2"/>
        <w:ind w:start="576" w:hanging="576"/>
        <w:rPr/>
      </w:pPr>
      <w:r>
        <w:rPr/>
      </w:r>
    </w:p>
    <w:p>
      <w:pPr>
        <w:pStyle w:val="Nagwek2"/>
        <w:ind w:start="576" w:hanging="576"/>
        <w:rPr/>
      </w:pPr>
      <w:r>
        <w:rPr/>
      </w:r>
    </w:p>
    <w:p>
      <w:pPr>
        <w:pStyle w:val="Nagwek2"/>
        <w:ind w:start="576" w:hanging="576"/>
        <w:rPr/>
      </w:pPr>
      <w:r>
        <w:rPr/>
      </w:r>
    </w:p>
    <w:p>
      <w:pPr>
        <w:pStyle w:val="Colozwyky1"/>
        <w:rPr/>
      </w:pPr>
      <w:r>
        <w:rPr/>
      </w:r>
    </w:p>
    <w:p>
      <w:pPr>
        <w:pStyle w:val="Nagwek2"/>
        <w:ind w:start="576" w:hanging="576"/>
        <w:rPr>
          <w:color w:val="002060"/>
        </w:rPr>
      </w:pPr>
      <w:bookmarkStart w:id="53" w:name="_Toc182663394"/>
      <w:r>
        <w:rPr>
          <w:color w:val="002060"/>
        </w:rPr>
        <w:t>PODSUMOWANIE</w:t>
      </w:r>
      <w:bookmarkEnd w:id="53"/>
    </w:p>
    <w:p>
      <w:pPr>
        <w:pStyle w:val="Colozwyky1"/>
        <w:rPr/>
      </w:pPr>
      <w:r>
        <w:rPr/>
        <w:t xml:space="preserve">Przedstawione wartości są szacunkowe – oparte na obliczeniach matematycznych, wykonane na podstawie dostępnych kart katalogowych produktów. </w:t>
      </w:r>
    </w:p>
    <w:p>
      <w:pPr>
        <w:pStyle w:val="Colozwyky1"/>
        <w:rPr/>
      </w:pPr>
      <w:r>
        <w:rPr/>
        <w:t xml:space="preserve">Dla sali sportowej przy organizowaniu spotkań konieczne jest zastosowanie dodatkowego nagłośnienia, które zwiększy powierzchnię zrozumiałości mowy. Sugeruje się rozmieszczenia głośników w narożach Sali i 2 sztuki na balkonie. </w:t>
      </w:r>
    </w:p>
    <w:p>
      <w:pPr>
        <w:pStyle w:val="Colozwyky1"/>
        <w:rPr/>
      </w:pPr>
      <w:r>
        <w:rPr/>
        <w:t xml:space="preserve">Przedstawione wyniki symulacji wykazują polepszenie warunków akustycznych przy założeniu zastosowania materiałów opisanych w niniejszym opracowaniu. </w:t>
      </w:r>
    </w:p>
    <w:p>
      <w:pPr>
        <w:pStyle w:val="Colozwyky1"/>
        <w:rPr>
          <w:rFonts w:cs="Arial"/>
        </w:rPr>
      </w:pPr>
      <w:r>
        <w:rPr/>
        <w:t>Przedstawione wartości mogą odbiegać od stanu rzeczywistego. Wynika to z faktu:</w:t>
      </w:r>
    </w:p>
    <w:p>
      <w:pPr>
        <w:pStyle w:val="NoSpacing"/>
        <w:numPr>
          <w:ilvl w:val="0"/>
          <w:numId w:val="4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występowania rozbieżności pomiędzy danymi deklarowanymi przez producentów, a stanem faktycznym, </w:t>
      </w:r>
    </w:p>
    <w:p>
      <w:pPr>
        <w:pStyle w:val="NoSpacing"/>
        <w:numPr>
          <w:ilvl w:val="0"/>
          <w:numId w:val="4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 różnicy pomiędzy powierzchnią rzeczywistą, a powierzchnią badanej próbki w laboratorium,</w:t>
      </w:r>
    </w:p>
    <w:p>
      <w:pPr>
        <w:pStyle w:val="NoSpacing"/>
        <w:numPr>
          <w:ilvl w:val="0"/>
          <w:numId w:val="4"/>
        </w:numPr>
        <w:rPr>
          <w:rFonts w:ascii="Verdana" w:hAnsi="Verdana" w:eastAsia="Verdana-Bold"/>
          <w:b/>
          <w:b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t>dokładności wykonania i stosowania zaleceń producentów danego systemu lub rozwiązania,</w:t>
      </w:r>
    </w:p>
    <w:p>
      <w:pPr>
        <w:pStyle w:val="NoSpacing"/>
        <w:numPr>
          <w:ilvl w:val="0"/>
          <w:numId w:val="4"/>
        </w:numPr>
        <w:rPr>
          <w:rFonts w:ascii="Verdana" w:hAnsi="Verdana" w:eastAsia="Verdana-Bold"/>
          <w:b/>
          <w:b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t>elementów wyposażenia wnętrza,</w:t>
      </w:r>
    </w:p>
    <w:p>
      <w:pPr>
        <w:pStyle w:val="NoSpacing"/>
        <w:numPr>
          <w:ilvl w:val="0"/>
          <w:numId w:val="4"/>
        </w:numPr>
        <w:rPr>
          <w:rFonts w:ascii="Verdana" w:hAnsi="Verdana" w:cs="Arial"/>
          <w:sz w:val="20"/>
          <w:szCs w:val="20"/>
        </w:rPr>
      </w:pPr>
      <w:r>
        <w:rPr>
          <w:rFonts w:cs="Arial" w:ascii="Verdana" w:hAnsi="Verdana"/>
          <w:sz w:val="20"/>
          <w:szCs w:val="20"/>
        </w:rPr>
        <w:t>elementów których nie sposób ująć w modelu geometrycznym.</w:t>
      </w:r>
    </w:p>
    <w:p>
      <w:pPr>
        <w:pStyle w:val="Colozwykly"/>
        <w:rPr>
          <w:rFonts w:eastAsia="Verdana-Bold"/>
          <w:b/>
          <w:b/>
          <w:bCs/>
        </w:rPr>
      </w:pPr>
      <w:r>
        <w:rPr>
          <w:rFonts w:eastAsia="Verdana-Bold"/>
          <w:b/>
          <w:bCs/>
        </w:rPr>
      </w:r>
    </w:p>
    <w:p>
      <w:pPr>
        <w:pStyle w:val="Colozwykly"/>
        <w:rPr>
          <w:rFonts w:eastAsia="Verdana-Bold"/>
          <w:b/>
          <w:b/>
          <w:bCs/>
        </w:rPr>
      </w:pPr>
      <w:r>
        <w:rPr>
          <w:rFonts w:eastAsia="Verdana-Bold"/>
          <w:b/>
          <w:bCs/>
        </w:rPr>
        <w:t>Zastosowanie innych rozwiązań w stosunku do analizowanych w opracowaniu, może mieć istotny wpływ na końcowe wyniki obliczeń.</w:t>
      </w:r>
    </w:p>
    <w:p>
      <w:pPr>
        <w:pStyle w:val="Normal"/>
        <w:jc w:val="both"/>
        <w:rPr>
          <w:rFonts w:ascii="Verdana" w:hAnsi="Verdana" w:cs="Verdana"/>
          <w:sz w:val="20"/>
        </w:rPr>
      </w:pPr>
      <w:r>
        <w:rPr>
          <w:rFonts w:cs="Verdana" w:ascii="Verdana" w:hAnsi="Verdana"/>
          <w:sz w:val="20"/>
        </w:rPr>
      </w:r>
    </w:p>
    <w:p>
      <w:pPr>
        <w:pStyle w:val="Normal"/>
        <w:jc w:val="both"/>
        <w:rPr/>
      </w:pPr>
      <w:r>
        <w:rPr>
          <w:rFonts w:cs="Verdana" w:ascii="Verdana" w:hAnsi="Verdana"/>
          <w:sz w:val="20"/>
        </w:rPr>
        <w:t xml:space="preserve">Niniejsze opracowanie zawiera łącznie 23 strony i należy je rozpatrywać w całości. Opracowanie </w:t>
      </w:r>
      <w:r>
        <w:rPr>
          <w:rFonts w:ascii="Verdana" w:hAnsi="Verdana"/>
          <w:sz w:val="20"/>
        </w:rPr>
        <w:t>wykonano w dwóch jednobrzmiących egzemplarzach z czego 1 egzemplarz drogę elektroniczną przekazano Zamawiającemu.</w:t>
      </w:r>
    </w:p>
    <w:p>
      <w:pPr>
        <w:pStyle w:val="Normal"/>
        <w:jc w:val="both"/>
        <w:rPr/>
      </w:pPr>
      <w:r>
        <w:rPr/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jc w:val="center"/>
        <w:rPr>
          <w:rFonts w:cs="Verdana"/>
        </w:rPr>
      </w:pPr>
      <w:r>
        <w:rPr>
          <w:rFonts w:cs="Verdana"/>
        </w:rPr>
      </w:r>
    </w:p>
    <w:p>
      <w:pPr>
        <w:pStyle w:val="Colozwyky1"/>
        <w:suppressAutoHyphens w:val="true"/>
        <w:spacing w:before="0" w:after="240"/>
        <w:jc w:val="both"/>
        <w:rPr/>
      </w:pPr>
      <w:r>
        <w:rPr/>
      </w:r>
    </w:p>
    <w:sectPr>
      <w:headerReference w:type="default" r:id="rId30"/>
      <w:footerReference w:type="even" r:id="rId31"/>
      <w:footerReference w:type="default" r:id="rId32"/>
      <w:footerReference w:type="first" r:id="rId33"/>
      <w:type w:val="nextPage"/>
      <w:pgSz w:w="11906" w:h="16838"/>
      <w:pgMar w:left="1134" w:right="1134" w:gutter="0" w:header="357" w:top="902" w:footer="336" w:bottom="1134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Calibri">
    <w:charset w:val="01"/>
    <w:family w:val="roman"/>
    <w:pitch w:val="default"/>
  </w:font>
  <w:font w:name="Times New Roman">
    <w:charset w:val="01"/>
    <w:family w:val="roman"/>
    <w:pitch w:val="default"/>
  </w:font>
  <w:font w:name="Verdana">
    <w:charset w:val="01"/>
    <w:family w:val="roman"/>
    <w:pitch w:val="default"/>
  </w:font>
  <w:font w:name="Segoe UI">
    <w:charset w:val="01"/>
    <w:family w:val="roman"/>
    <w:pitch w:val="default"/>
  </w:font>
  <w:font w:name="Liberation Sans">
    <w:altName w:val="Arial"/>
    <w:charset w:val="01"/>
    <w:family w:val="swiss"/>
    <w:pitch w:val="default"/>
  </w:font>
  <w:font w:name="Liberation Serif">
    <w:altName w:val="Times New Roman"/>
    <w:charset w:val="01"/>
    <w:family w:val="roman"/>
    <w:pitch w:val="default"/>
  </w:font>
  <w:font w:name="Cambria">
    <w:charset w:val="01"/>
    <w:family w:val="roman"/>
    <w:pitch w:val="default"/>
  </w:font>
  <w:font w:name="Arial">
    <w:charset w:val="01"/>
    <w:family w:val="roman"/>
    <w:pitch w:val="default"/>
  </w:font>
  <w:font w:name="Arial Unicode MS">
    <w:charset w:val="01"/>
    <w:family w:val="roman"/>
    <w:pitch w:val="default"/>
  </w:font>
  <w:font w:name="Symbol">
    <w:charset w:val="01"/>
    <w:family w:val="roman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opka"/>
      <w:ind w:end="360" w:hanging="0"/>
      <w:rPr/>
    </w:pPr>
    <w:r>
      <w:rPr/>
    </w:r>
    <w:r>
      <mc:AlternateContent>
        <mc:Choice Requires="wps">
          <w:drawing>
            <wp:anchor behindDoc="0" distT="0" distB="0" distL="0" distR="0" simplePos="0" locked="0" layoutInCell="1" allowOverlap="1" relativeHeight="0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29" name="Ramka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05" cy="14605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opka"/>
                            <w:pBdr/>
                            <w:rPr>
                              <w:rStyle w:val="Pagenumber"/>
                              <w:rFonts w:eastAsia="" w:eastAsiaTheme="majorEastAsia"/>
                            </w:rPr>
                          </w:pPr>
                          <w:r>
                            <w:rPr>
                              <w:rStyle w:val="Pagenumber"/>
                              <w:rFonts w:eastAsia="" w:eastAsiaTheme="majorEastAsia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rFonts w:eastAsia="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rFonts w:eastAsia="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rFonts w:eastAsia=""/>
                            </w:rPr>
                            <w:t>0</w:t>
                          </w:r>
                          <w:r>
                            <w:rPr>
                              <w:rStyle w:val="Pagenumber"/>
                              <w:rFonts w:eastAsia="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1.15pt;height:1.15pt;mso-wrap-distance-left:0pt;mso-wrap-distance-right:0pt;mso-wrap-distance-top:0pt;mso-wrap-distance-bottom:0pt;margin-top:0.05pt;mso-position-vertical-relative:text;margin-left:0pt;mso-position-horizontal:right;mso-position-horizontal-relative:margin">
              <v:fill opacity="0f"/>
              <v:textbox inset="0in,0in,0in,0in">
                <w:txbxContent>
                  <w:p>
                    <w:pPr>
                      <w:pStyle w:val="Stopka"/>
                      <w:pBdr/>
                      <w:rPr>
                        <w:rStyle w:val="Pagenumber"/>
                        <w:rFonts w:eastAsia="" w:eastAsiaTheme="majorEastAsia"/>
                      </w:rPr>
                    </w:pPr>
                    <w:r>
                      <w:rPr>
                        <w:rStyle w:val="Pagenumber"/>
                        <w:rFonts w:eastAsia="" w:eastAsiaTheme="majorEastAsia"/>
                      </w:rPr>
                      <w:fldChar w:fldCharType="begin"/>
                    </w:r>
                    <w:r>
                      <w:rPr>
                        <w:rStyle w:val="Pagenumber"/>
                        <w:rFonts w:eastAsia=""/>
                      </w:rPr>
                      <w:instrText xml:space="preserve"> PAGE </w:instrText>
                    </w:r>
                    <w:r>
                      <w:rPr>
                        <w:rStyle w:val="Pagenumber"/>
                        <w:rFonts w:eastAsia=""/>
                      </w:rPr>
                      <w:fldChar w:fldCharType="separate"/>
                    </w:r>
                    <w:r>
                      <w:rPr>
                        <w:rStyle w:val="Pagenumber"/>
                        <w:rFonts w:eastAsia=""/>
                      </w:rPr>
                      <w:t>0</w:t>
                    </w:r>
                    <w:r>
                      <w:rPr>
                        <w:rStyle w:val="Pagenumber"/>
                        <w:rFonts w:eastAsia="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828" w:type="dxa"/>
      <w:jc w:val="start"/>
      <w:tblInd w:w="0" w:type="dxa"/>
      <w:tblLayout w:type="fixed"/>
      <w:tblCellMar>
        <w:top w:w="0" w:type="dxa"/>
        <w:start w:w="108" w:type="dxa"/>
        <w:bottom w:w="0" w:type="dxa"/>
        <w:end w:w="108" w:type="dxa"/>
      </w:tblCellMar>
      <w:tblLook w:firstRow="1" w:noVBand="1" w:lastRow="0" w:firstColumn="1" w:lastColumn="0" w:noHBand="0"/>
    </w:tblPr>
    <w:tblGrid>
      <w:gridCol w:w="4608"/>
      <w:gridCol w:w="5219"/>
    </w:tblGrid>
    <w:tr>
      <w:trPr/>
      <w:tc>
        <w:tcPr>
          <w:tcW w:w="4608" w:type="dxa"/>
          <w:tcBorders/>
        </w:tcPr>
        <w:p>
          <w:pPr>
            <w:pStyle w:val="Stopka"/>
            <w:widowControl w:val="false"/>
            <w:ind w:end="360" w:hanging="0"/>
            <w:rPr>
              <w:rFonts w:ascii="Verdana" w:hAnsi="Verdana"/>
              <w:sz w:val="20"/>
            </w:rPr>
          </w:pPr>
          <w:r>
            <w:rPr>
              <w:rFonts w:ascii="Verdana" w:hAnsi="Verdana"/>
              <w:sz w:val="20"/>
            </w:rPr>
          </w:r>
        </w:p>
      </w:tc>
      <w:tc>
        <w:tcPr>
          <w:tcW w:w="5219" w:type="dxa"/>
          <w:tcBorders/>
        </w:tcPr>
        <w:p>
          <w:pPr>
            <w:pStyle w:val="Stopka"/>
            <w:widowControl w:val="false"/>
            <w:tabs>
              <w:tab w:val="center" w:pos="2423" w:leader="none"/>
              <w:tab w:val="center" w:pos="4536" w:leader="none"/>
              <w:tab w:val="right" w:pos="4846" w:leader="none"/>
              <w:tab w:val="right" w:pos="9072" w:leader="none"/>
            </w:tabs>
            <w:ind w:end="1" w:hanging="0"/>
            <w:jc w:val="end"/>
            <w:rPr>
              <w:rFonts w:ascii="Verdana" w:hAnsi="Verdana"/>
              <w:sz w:val="20"/>
            </w:rPr>
          </w:pPr>
          <w:r>
            <w:rPr>
              <w:rFonts w:ascii="Verdana" w:hAnsi="Verdana"/>
              <w:sz w:val="20"/>
            </w:rPr>
            <w:t xml:space="preserve">                                                                    </w:t>
          </w:r>
        </w:p>
      </w:tc>
    </w:tr>
  </w:tbl>
  <w:p>
    <w:pPr>
      <w:pStyle w:val="Stopka"/>
      <w:rPr>
        <w:rFonts w:ascii="Verdana" w:hAnsi="Verdana"/>
        <w:sz w:val="20"/>
      </w:rPr>
    </w:pPr>
    <w:r>
      <w:rPr>
        <w:rFonts w:ascii="Verdana" w:hAnsi="Verdana"/>
        <w:sz w:val="20"/>
      </w:rPr>
    </w:r>
    <w:r>
      <mc:AlternateContent>
        <mc:Choice Requires="wps">
          <w:drawing>
            <wp:anchor behindDoc="0" distT="0" distB="0" distL="0" distR="0" simplePos="0" locked="0" layoutInCell="0" allowOverlap="1" relativeHeight="51">
              <wp:simplePos x="0" y="0"/>
              <wp:positionH relativeFrom="page">
                <wp:posOffset>6753860</wp:posOffset>
              </wp:positionH>
              <wp:positionV relativeFrom="paragraph">
                <wp:posOffset>17780</wp:posOffset>
              </wp:positionV>
              <wp:extent cx="161925" cy="154305"/>
              <wp:effectExtent l="0" t="0" r="0" b="0"/>
              <wp:wrapSquare wrapText="bothSides"/>
              <wp:docPr id="30" name="Ramka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1925" cy="154305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opka"/>
                            <w:pBdr/>
                            <w:rPr>
                              <w:rStyle w:val="Pagenumber"/>
                              <w:rFonts w:ascii="Verdana" w:hAnsi="Verdana" w:eastAsia="" w:eastAsiaTheme="majorEastAsia"/>
                              <w:sz w:val="20"/>
                            </w:rPr>
                          </w:pPr>
                          <w:r>
                            <w:rPr>
                              <w:rStyle w:val="Pagenumber"/>
                              <w:rFonts w:eastAsia="" w:ascii="Verdana" w:hAnsi="Verdana" w:eastAsiaTheme="majorEastAsia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t>23</w:t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12.75pt;height:12.15pt;mso-wrap-distance-left:0pt;mso-wrap-distance-right:0pt;mso-wrap-distance-top:0pt;mso-wrap-distance-bottom:0pt;margin-top:1.4pt;mso-position-vertical-relative:text;margin-left:531.8pt;mso-position-horizontal-relative:page">
              <v:fill opacity="0f"/>
              <v:textbox inset="0in,0in,0in,0in">
                <w:txbxContent>
                  <w:p>
                    <w:pPr>
                      <w:pStyle w:val="Stopka"/>
                      <w:pBdr/>
                      <w:rPr>
                        <w:rStyle w:val="Pagenumber"/>
                        <w:rFonts w:ascii="Verdana" w:hAnsi="Verdana" w:eastAsia="" w:eastAsiaTheme="majorEastAsia"/>
                        <w:sz w:val="20"/>
                      </w:rPr>
                    </w:pPr>
                    <w:r>
                      <w:rPr>
                        <w:rStyle w:val="Pagenumber"/>
                        <w:rFonts w:eastAsia="" w:ascii="Verdana" w:hAnsi="Verdana" w:eastAsiaTheme="majorEastAsia"/>
                        <w:sz w:val="20"/>
                      </w:rPr>
                      <w:fldChar w:fldCharType="begin"/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instrText xml:space="preserve"> PAGE </w:instrText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fldChar w:fldCharType="separate"/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t>23</w:t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828" w:type="dxa"/>
      <w:jc w:val="start"/>
      <w:tblInd w:w="0" w:type="dxa"/>
      <w:tblLayout w:type="fixed"/>
      <w:tblCellMar>
        <w:top w:w="0" w:type="dxa"/>
        <w:start w:w="108" w:type="dxa"/>
        <w:bottom w:w="0" w:type="dxa"/>
        <w:end w:w="108" w:type="dxa"/>
      </w:tblCellMar>
      <w:tblLook w:firstRow="1" w:noVBand="1" w:lastRow="0" w:firstColumn="1" w:lastColumn="0" w:noHBand="0"/>
    </w:tblPr>
    <w:tblGrid>
      <w:gridCol w:w="4608"/>
      <w:gridCol w:w="5219"/>
    </w:tblGrid>
    <w:tr>
      <w:trPr/>
      <w:tc>
        <w:tcPr>
          <w:tcW w:w="4608" w:type="dxa"/>
          <w:tcBorders/>
        </w:tcPr>
        <w:p>
          <w:pPr>
            <w:pStyle w:val="Stopka"/>
            <w:widowControl w:val="false"/>
            <w:ind w:end="360" w:hanging="0"/>
            <w:rPr>
              <w:rFonts w:ascii="Verdana" w:hAnsi="Verdana"/>
              <w:sz w:val="20"/>
            </w:rPr>
          </w:pPr>
          <w:r>
            <w:rPr>
              <w:rFonts w:ascii="Verdana" w:hAnsi="Verdana"/>
              <w:sz w:val="20"/>
            </w:rPr>
          </w:r>
        </w:p>
      </w:tc>
      <w:tc>
        <w:tcPr>
          <w:tcW w:w="5219" w:type="dxa"/>
          <w:tcBorders/>
        </w:tcPr>
        <w:p>
          <w:pPr>
            <w:pStyle w:val="Stopka"/>
            <w:widowControl w:val="false"/>
            <w:tabs>
              <w:tab w:val="center" w:pos="2423" w:leader="none"/>
              <w:tab w:val="center" w:pos="4536" w:leader="none"/>
              <w:tab w:val="right" w:pos="4846" w:leader="none"/>
              <w:tab w:val="right" w:pos="9072" w:leader="none"/>
            </w:tabs>
            <w:ind w:end="1" w:hanging="0"/>
            <w:jc w:val="end"/>
            <w:rPr>
              <w:rFonts w:ascii="Verdana" w:hAnsi="Verdana"/>
              <w:sz w:val="20"/>
            </w:rPr>
          </w:pPr>
          <w:r>
            <w:rPr>
              <w:rFonts w:ascii="Verdana" w:hAnsi="Verdana"/>
              <w:sz w:val="20"/>
            </w:rPr>
            <w:t xml:space="preserve">                                                                    </w:t>
          </w:r>
        </w:p>
      </w:tc>
    </w:tr>
  </w:tbl>
  <w:p>
    <w:pPr>
      <w:pStyle w:val="Stopka"/>
      <w:rPr>
        <w:rFonts w:ascii="Verdana" w:hAnsi="Verdana"/>
        <w:sz w:val="20"/>
      </w:rPr>
    </w:pPr>
    <w:r>
      <w:rPr>
        <w:rFonts w:ascii="Verdana" w:hAnsi="Verdana"/>
        <w:sz w:val="20"/>
      </w:rPr>
    </w:r>
    <w:r>
      <mc:AlternateContent>
        <mc:Choice Requires="wps">
          <w:drawing>
            <wp:anchor behindDoc="0" distT="0" distB="0" distL="0" distR="0" simplePos="0" locked="0" layoutInCell="0" allowOverlap="1" relativeHeight="51">
              <wp:simplePos x="0" y="0"/>
              <wp:positionH relativeFrom="page">
                <wp:posOffset>6753860</wp:posOffset>
              </wp:positionH>
              <wp:positionV relativeFrom="paragraph">
                <wp:posOffset>17780</wp:posOffset>
              </wp:positionV>
              <wp:extent cx="161925" cy="154305"/>
              <wp:effectExtent l="0" t="0" r="0" b="0"/>
              <wp:wrapSquare wrapText="bothSides"/>
              <wp:docPr id="31" name="Ramka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1925" cy="154305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opka"/>
                            <w:pBdr/>
                            <w:rPr>
                              <w:rStyle w:val="Pagenumber"/>
                              <w:rFonts w:ascii="Verdana" w:hAnsi="Verdana" w:eastAsia="" w:eastAsiaTheme="majorEastAsia"/>
                              <w:sz w:val="20"/>
                            </w:rPr>
                          </w:pPr>
                          <w:r>
                            <w:rPr>
                              <w:rStyle w:val="Pagenumber"/>
                              <w:rFonts w:eastAsia="" w:ascii="Verdana" w:hAnsi="Verdana" w:eastAsiaTheme="majorEastAsia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t>23</w:t>
                          </w:r>
                          <w:r>
                            <w:rPr>
                              <w:rStyle w:val="Pagenumber"/>
                              <w:sz w:val="20"/>
                              <w:rFonts w:eastAsia="" w:ascii="Verdana" w:hAnsi="Verdana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12.75pt;height:12.15pt;mso-wrap-distance-left:0pt;mso-wrap-distance-right:0pt;mso-wrap-distance-top:0pt;mso-wrap-distance-bottom:0pt;margin-top:1.4pt;mso-position-vertical-relative:text;margin-left:531.8pt;mso-position-horizontal-relative:page">
              <v:fill opacity="0f"/>
              <v:textbox inset="0in,0in,0in,0in">
                <w:txbxContent>
                  <w:p>
                    <w:pPr>
                      <w:pStyle w:val="Stopka"/>
                      <w:pBdr/>
                      <w:rPr>
                        <w:rStyle w:val="Pagenumber"/>
                        <w:rFonts w:ascii="Verdana" w:hAnsi="Verdana" w:eastAsia="" w:eastAsiaTheme="majorEastAsia"/>
                        <w:sz w:val="20"/>
                      </w:rPr>
                    </w:pPr>
                    <w:r>
                      <w:rPr>
                        <w:rStyle w:val="Pagenumber"/>
                        <w:rFonts w:eastAsia="" w:ascii="Verdana" w:hAnsi="Verdana" w:eastAsiaTheme="majorEastAsia"/>
                        <w:sz w:val="20"/>
                      </w:rPr>
                      <w:fldChar w:fldCharType="begin"/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instrText xml:space="preserve"> PAGE </w:instrText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fldChar w:fldCharType="separate"/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t>23</w:t>
                    </w:r>
                    <w:r>
                      <w:rPr>
                        <w:rStyle w:val="Pagenumber"/>
                        <w:sz w:val="20"/>
                        <w:rFonts w:eastAsia="" w:ascii="Verdana" w:hAnsi="Verdana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Gwka"/>
      <w:tabs>
        <w:tab w:val="clear" w:pos="4536"/>
        <w:tab w:val="center" w:pos="8280" w:leader="none"/>
        <w:tab w:val="right" w:pos="9072" w:leader="none"/>
      </w:tabs>
      <w:spacing w:before="0" w:after="240"/>
      <w:rPr/>
    </w:pPr>
    <w:r>
      <w:rPr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start"/>
      <w:pPr>
        <w:tabs>
          <w:tab w:val="num" w:pos="720"/>
        </w:tabs>
        <w:ind w:start="720" w:hanging="360"/>
      </w:pPr>
      <w:rPr/>
    </w:lvl>
    <w:lvl w:ilvl="1">
      <w:start w:val="1"/>
      <w:numFmt w:val="decimal"/>
      <w:lvlText w:val="%1.%2."/>
      <w:lvlJc w:val="start"/>
      <w:pPr>
        <w:tabs>
          <w:tab w:val="num" w:pos="0"/>
        </w:tabs>
        <w:ind w:start="1429" w:hanging="720"/>
      </w:pPr>
      <w:rPr/>
    </w:lvl>
    <w:lvl w:ilvl="2">
      <w:start w:val="1"/>
      <w:numFmt w:val="ordinal"/>
      <w:lvlText w:val="%1.%2.%3"/>
      <w:lvlJc w:val="start"/>
      <w:pPr>
        <w:tabs>
          <w:tab w:val="num" w:pos="1758"/>
        </w:tabs>
        <w:ind w:start="1758" w:hanging="1758"/>
      </w:pPr>
      <w:rPr/>
    </w:lvl>
    <w:lvl w:ilvl="3">
      <w:start w:val="1"/>
      <w:numFmt w:val="decimal"/>
      <w:lvlText w:val="%1.%2.%3.%4."/>
      <w:lvlJc w:val="start"/>
      <w:pPr>
        <w:tabs>
          <w:tab w:val="num" w:pos="1440"/>
        </w:tabs>
        <w:ind w:start="1440" w:hanging="1080"/>
      </w:pPr>
      <w:rPr/>
    </w:lvl>
    <w:lvl w:ilvl="4">
      <w:start w:val="1"/>
      <w:numFmt w:val="decimal"/>
      <w:lvlText w:val="%1.%2.%3.%4.%5."/>
      <w:lvlJc w:val="start"/>
      <w:pPr>
        <w:tabs>
          <w:tab w:val="num" w:pos="0"/>
        </w:tabs>
        <w:ind w:start="1800" w:hanging="1440"/>
      </w:pPr>
      <w:rPr/>
    </w:lvl>
    <w:lvl w:ilvl="5">
      <w:start w:val="1"/>
      <w:numFmt w:val="decimal"/>
      <w:lvlText w:val="%1.%2.%3.%4.%5.%6."/>
      <w:lvlJc w:val="start"/>
      <w:pPr>
        <w:tabs>
          <w:tab w:val="num" w:pos="0"/>
        </w:tabs>
        <w:ind w:start="1800" w:hanging="1440"/>
      </w:pPr>
      <w:rPr/>
    </w:lvl>
    <w:lvl w:ilvl="6">
      <w:start w:val="1"/>
      <w:numFmt w:val="decimal"/>
      <w:lvlText w:val="%1.%2.%3.%4.%5.%6.%7."/>
      <w:lvlJc w:val="start"/>
      <w:pPr>
        <w:tabs>
          <w:tab w:val="num" w:pos="0"/>
        </w:tabs>
        <w:ind w:start="2160" w:hanging="1800"/>
      </w:pPr>
      <w:rPr/>
    </w:lvl>
    <w:lvl w:ilvl="7">
      <w:start w:val="1"/>
      <w:numFmt w:val="decimal"/>
      <w:lvlText w:val="%1.%2.%3.%4.%5.%6.%7.%8."/>
      <w:lvlJc w:val="start"/>
      <w:pPr>
        <w:tabs>
          <w:tab w:val="num" w:pos="0"/>
        </w:tabs>
        <w:ind w:start="2520" w:hanging="2160"/>
      </w:pPr>
      <w:rPr/>
    </w:lvl>
    <w:lvl w:ilvl="8">
      <w:start w:val="1"/>
      <w:numFmt w:val="decimal"/>
      <w:lvlText w:val="%1.%2.%3.%4.%5.%6.%7.%8.%9."/>
      <w:lvlJc w:val="start"/>
      <w:pPr>
        <w:tabs>
          <w:tab w:val="num" w:pos="0"/>
        </w:tabs>
        <w:ind w:start="2520" w:hanging="2160"/>
      </w:pPr>
      <w:rPr/>
    </w:lvl>
  </w:abstractNum>
  <w:abstractNum w:abstractNumId="2">
    <w:lvl w:ilvl="0">
      <w:start w:val="1"/>
      <w:numFmt w:val="ordinal"/>
      <w:lvlText w:val="%1"/>
      <w:lvlJc w:val="start"/>
      <w:pPr>
        <w:tabs>
          <w:tab w:val="num" w:pos="720"/>
        </w:tabs>
        <w:ind w:start="360" w:hanging="360"/>
      </w:pPr>
      <w:rPr/>
    </w:lvl>
    <w:lvl w:ilvl="1">
      <w:start w:val="1"/>
      <w:numFmt w:val="decimal"/>
      <w:lvlText w:val="%1.%2."/>
      <w:lvlJc w:val="start"/>
      <w:pPr>
        <w:tabs>
          <w:tab w:val="num" w:pos="1069"/>
        </w:tabs>
        <w:ind w:start="1069" w:hanging="720"/>
      </w:pPr>
      <w:rPr/>
    </w:lvl>
    <w:lvl w:ilvl="2">
      <w:start w:val="1"/>
      <w:numFmt w:val="ordinal"/>
      <w:lvlText w:val="%1%2.%3 "/>
      <w:lvlJc w:val="start"/>
      <w:pPr>
        <w:tabs>
          <w:tab w:val="num" w:pos="2498"/>
        </w:tabs>
        <w:ind w:start="1778" w:hanging="720"/>
      </w:pPr>
      <w:rPr>
        <w:effect w:val="none"/>
      </w:rPr>
    </w:lvl>
    <w:lvl w:ilvl="3">
      <w:start w:val="1"/>
      <w:numFmt w:val="decimal"/>
      <w:lvlText w:val="%1.%2.%3.%4."/>
      <w:lvlJc w:val="start"/>
      <w:pPr>
        <w:tabs>
          <w:tab w:val="num" w:pos="1080"/>
        </w:tabs>
        <w:ind w:start="1080" w:hanging="1080"/>
      </w:pPr>
      <w:rPr/>
    </w:lvl>
    <w:lvl w:ilvl="4">
      <w:start w:val="1"/>
      <w:numFmt w:val="decimal"/>
      <w:lvlText w:val="%1.%2.%3.%4.%5."/>
      <w:lvlJc w:val="start"/>
      <w:pPr>
        <w:tabs>
          <w:tab w:val="num" w:pos="0"/>
        </w:tabs>
        <w:ind w:start="1440" w:hanging="1440"/>
      </w:pPr>
      <w:rPr/>
    </w:lvl>
    <w:lvl w:ilvl="5">
      <w:start w:val="1"/>
      <w:numFmt w:val="decimal"/>
      <w:lvlText w:val="%1.%2.%3.%4.%5.%6."/>
      <w:lvlJc w:val="start"/>
      <w:pPr>
        <w:tabs>
          <w:tab w:val="num" w:pos="0"/>
        </w:tabs>
        <w:ind w:start="1440" w:hanging="1440"/>
      </w:pPr>
      <w:rPr/>
    </w:lvl>
    <w:lvl w:ilvl="6">
      <w:start w:val="1"/>
      <w:numFmt w:val="decimal"/>
      <w:lvlText w:val="%1.%2.%3.%4.%5.%6.%7."/>
      <w:lvlJc w:val="start"/>
      <w:pPr>
        <w:tabs>
          <w:tab w:val="num" w:pos="0"/>
        </w:tabs>
        <w:ind w:start="1800" w:hanging="1800"/>
      </w:pPr>
      <w:rPr/>
    </w:lvl>
    <w:lvl w:ilvl="7">
      <w:start w:val="1"/>
      <w:numFmt w:val="decimal"/>
      <w:lvlText w:val="%1.%2.%3.%4.%5.%6.%7.%8."/>
      <w:lvlJc w:val="start"/>
      <w:pPr>
        <w:tabs>
          <w:tab w:val="num" w:pos="0"/>
        </w:tabs>
        <w:ind w:start="2160" w:hanging="2160"/>
      </w:pPr>
      <w:rPr/>
    </w:lvl>
    <w:lvl w:ilvl="8">
      <w:start w:val="1"/>
      <w:numFmt w:val="decimal"/>
      <w:lvlText w:val="%1.%2.%3.%4.%5.%6.%7.%8.%9."/>
      <w:lvlJc w:val="start"/>
      <w:pPr>
        <w:tabs>
          <w:tab w:val="num" w:pos="0"/>
        </w:tabs>
        <w:ind w:start="2160" w:hanging="2160"/>
      </w:pPr>
      <w:rPr/>
    </w:lvl>
  </w:abstractNum>
  <w:abstractNum w:abstractNumId="3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pl-PL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426af"/>
    <w:pPr>
      <w:widowControl/>
      <w:bidi w:val="0"/>
      <w:spacing w:lineRule="auto" w:line="240"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Nagwek1">
    <w:name w:val="Heading 1"/>
    <w:basedOn w:val="Normal"/>
    <w:next w:val="Normal"/>
    <w:link w:val="Nagwek1Znak"/>
    <w:qFormat/>
    <w:rsid w:val="004c276e"/>
    <w:pPr>
      <w:keepNext w:val="true"/>
      <w:keepLines/>
      <w:spacing w:before="240" w:after="0"/>
      <w:outlineLvl w:val="0"/>
    </w:pPr>
    <w:rPr>
      <w:rFonts w:ascii="Verdana" w:hAnsi="Verdana" w:eastAsia="" w:cs="" w:cstheme="majorBidi" w:eastAsiaTheme="majorEastAsia"/>
      <w:color w:val="2E74B5" w:themeColor="accent1" w:themeShade="bf"/>
      <w:sz w:val="20"/>
      <w:szCs w:val="32"/>
    </w:rPr>
  </w:style>
  <w:style w:type="paragraph" w:styleId="Nagwek2">
    <w:name w:val="Heading 2"/>
    <w:basedOn w:val="Colopodrozdzial"/>
    <w:next w:val="Normal"/>
    <w:link w:val="Nagwek2Znak"/>
    <w:qFormat/>
    <w:rsid w:val="00d449c7"/>
    <w:pPr>
      <w:numPr>
        <w:ilvl w:val="0"/>
        <w:numId w:val="0"/>
      </w:numPr>
      <w:tabs>
        <w:tab w:val="clear" w:pos="708"/>
        <w:tab w:val="left" w:pos="576" w:leader="none"/>
      </w:tabs>
      <w:ind w:start="576" w:hanging="576"/>
      <w:outlineLvl w:val="1"/>
    </w:pPr>
    <w:rPr>
      <w:rFonts w:cs="Verdana"/>
    </w:rPr>
  </w:style>
  <w:style w:type="paragraph" w:styleId="Nagwek3">
    <w:name w:val="Heading 3"/>
    <w:basedOn w:val="Normal"/>
    <w:next w:val="Normal"/>
    <w:link w:val="Nagwek3Znak"/>
    <w:qFormat/>
    <w:rsid w:val="00d449c7"/>
    <w:pPr>
      <w:keepNext w:val="true"/>
      <w:tabs>
        <w:tab w:val="clear" w:pos="708"/>
        <w:tab w:val="left" w:pos="720" w:leader="none"/>
      </w:tabs>
      <w:suppressAutoHyphens w:val="true"/>
      <w:ind w:start="720" w:hanging="720"/>
      <w:outlineLvl w:val="2"/>
    </w:pPr>
    <w:rPr>
      <w:rFonts w:ascii="Verdana" w:hAnsi="Verdana" w:cs="Verdana"/>
      <w:b/>
      <w:bCs/>
      <w:sz w:val="20"/>
      <w:lang w:eastAsia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Znak" w:customStyle="1">
    <w:name w:val="Nagłówek Znak"/>
    <w:basedOn w:val="DefaultParagraphFont"/>
    <w:semiHidden/>
    <w:qFormat/>
    <w:rsid w:val="00f66061"/>
    <w:rPr>
      <w:rFonts w:ascii="Times New Roman" w:hAnsi="Times New Roman" w:eastAsia="Times New Roman" w:cs="Times New Roman"/>
      <w:sz w:val="24"/>
      <w:szCs w:val="24"/>
      <w:lang w:eastAsia="pl-PL"/>
    </w:rPr>
  </w:style>
  <w:style w:type="character" w:styleId="StopkaZnak" w:customStyle="1">
    <w:name w:val="Stopka Znak"/>
    <w:basedOn w:val="DefaultParagraphFont"/>
    <w:semiHidden/>
    <w:qFormat/>
    <w:rsid w:val="00f66061"/>
    <w:rPr>
      <w:rFonts w:ascii="Times New Roman" w:hAnsi="Times New Roman" w:eastAsia="Times New Roman" w:cs="Times New Roman"/>
      <w:sz w:val="24"/>
      <w:szCs w:val="24"/>
      <w:lang w:eastAsia="pl-PL"/>
    </w:rPr>
  </w:style>
  <w:style w:type="character" w:styleId="TekstpodstawowyZnak" w:customStyle="1">
    <w:name w:val="Tekst podstawowy Znak"/>
    <w:basedOn w:val="DefaultParagraphFont"/>
    <w:uiPriority w:val="99"/>
    <w:semiHidden/>
    <w:qFormat/>
    <w:rsid w:val="00f66061"/>
    <w:rPr>
      <w:rFonts w:ascii="Verdana" w:hAnsi="Verdana" w:eastAsia="Times New Roman" w:cs="Times New Roman"/>
      <w:sz w:val="20"/>
      <w:szCs w:val="24"/>
      <w:lang w:eastAsia="pl-PL"/>
    </w:rPr>
  </w:style>
  <w:style w:type="character" w:styleId="Strong">
    <w:name w:val="Strong"/>
    <w:qFormat/>
    <w:rsid w:val="00f66061"/>
    <w:rPr>
      <w:b/>
      <w:bCs/>
    </w:rPr>
  </w:style>
  <w:style w:type="character" w:styleId="Pagenumber">
    <w:name w:val="page number"/>
    <w:basedOn w:val="DefaultParagraphFont"/>
    <w:semiHidden/>
    <w:qFormat/>
    <w:rsid w:val="00f66061"/>
    <w:rPr/>
  </w:style>
  <w:style w:type="character" w:styleId="Czeinternetowe">
    <w:name w:val="Hyperlink"/>
    <w:uiPriority w:val="99"/>
    <w:rsid w:val="00f66061"/>
    <w:rPr>
      <w:color w:val="0000FF"/>
      <w:u w:val="single"/>
    </w:rPr>
  </w:style>
  <w:style w:type="character" w:styleId="ColonagowekZnak" w:customStyle="1">
    <w:name w:val="colo nagłowek Znak"/>
    <w:qFormat/>
    <w:rsid w:val="00f66061"/>
    <w:rPr>
      <w:rFonts w:ascii="Verdana" w:hAnsi="Verdana" w:cs="Verdana"/>
      <w:b/>
    </w:rPr>
  </w:style>
  <w:style w:type="character" w:styleId="Nagwek1Znak" w:customStyle="1">
    <w:name w:val="Nagłówek 1 Znak"/>
    <w:basedOn w:val="DefaultParagraphFont"/>
    <w:qFormat/>
    <w:rsid w:val="004c276e"/>
    <w:rPr>
      <w:rFonts w:ascii="Verdana" w:hAnsi="Verdana" w:eastAsia="" w:cs="" w:cstheme="majorBidi" w:eastAsiaTheme="majorEastAsia"/>
      <w:color w:val="2E74B5" w:themeColor="accent1" w:themeShade="bf"/>
      <w:sz w:val="20"/>
      <w:szCs w:val="32"/>
      <w:lang w:eastAsia="pl-PL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sid w:val="00813ceb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813ceb"/>
    <w:rPr>
      <w:rFonts w:ascii="Times New Roman" w:hAnsi="Times New Roman" w:eastAsia="Times New Roman" w:cs="Times New Roman"/>
      <w:sz w:val="20"/>
      <w:szCs w:val="20"/>
      <w:lang w:eastAsia="pl-PL"/>
    </w:rPr>
  </w:style>
  <w:style w:type="character" w:styleId="TematkomentarzaZnak" w:customStyle="1">
    <w:name w:val="Temat komentarza Znak"/>
    <w:basedOn w:val="TekstkomentarzaZnak"/>
    <w:link w:val="Annotationsubject"/>
    <w:uiPriority w:val="99"/>
    <w:semiHidden/>
    <w:qFormat/>
    <w:rsid w:val="00813ceb"/>
    <w:rPr>
      <w:rFonts w:ascii="Times New Roman" w:hAnsi="Times New Roman" w:eastAsia="Times New Roman" w:cs="Times New Roman"/>
      <w:b/>
      <w:bCs/>
      <w:sz w:val="20"/>
      <w:szCs w:val="20"/>
      <w:lang w:eastAsia="pl-PL"/>
    </w:rPr>
  </w:style>
  <w:style w:type="character" w:styleId="TekstdymkaZnak" w:customStyle="1">
    <w:name w:val="Tekst dymka Znak"/>
    <w:basedOn w:val="DefaultParagraphFont"/>
    <w:link w:val="BalloonText"/>
    <w:uiPriority w:val="99"/>
    <w:semiHidden/>
    <w:qFormat/>
    <w:rsid w:val="00813ceb"/>
    <w:rPr>
      <w:rFonts w:ascii="Segoe UI" w:hAnsi="Segoe UI" w:eastAsia="Times New Roman" w:cs="Segoe UI"/>
      <w:sz w:val="18"/>
      <w:szCs w:val="18"/>
      <w:lang w:eastAsia="pl-PL"/>
    </w:rPr>
  </w:style>
  <w:style w:type="character" w:styleId="Wyrnienie">
    <w:name w:val="Emphasis"/>
    <w:qFormat/>
    <w:rsid w:val="0042201a"/>
    <w:rPr>
      <w:i/>
      <w:iCs/>
    </w:rPr>
  </w:style>
  <w:style w:type="character" w:styleId="Tekstpodstawowy3Znak" w:customStyle="1">
    <w:name w:val="Tekst podstawowy 3 Znak"/>
    <w:basedOn w:val="DefaultParagraphFont"/>
    <w:link w:val="BodyText3"/>
    <w:uiPriority w:val="99"/>
    <w:semiHidden/>
    <w:qFormat/>
    <w:rsid w:val="00d449c7"/>
    <w:rPr>
      <w:rFonts w:ascii="Times New Roman" w:hAnsi="Times New Roman" w:eastAsia="Times New Roman" w:cs="Times New Roman"/>
      <w:sz w:val="16"/>
      <w:szCs w:val="16"/>
      <w:lang w:eastAsia="pl-PL"/>
    </w:rPr>
  </w:style>
  <w:style w:type="character" w:styleId="Nagwek2Znak" w:customStyle="1">
    <w:name w:val="Nagłówek 2 Znak"/>
    <w:basedOn w:val="DefaultParagraphFont"/>
    <w:qFormat/>
    <w:rsid w:val="00d449c7"/>
    <w:rPr>
      <w:rFonts w:ascii="Verdana" w:hAnsi="Verdana" w:eastAsia="Times New Roman" w:cs="Verdana"/>
      <w:b/>
      <w:sz w:val="20"/>
      <w:szCs w:val="20"/>
      <w:lang w:eastAsia="ar-SA"/>
    </w:rPr>
  </w:style>
  <w:style w:type="character" w:styleId="Nagwek3Znak" w:customStyle="1">
    <w:name w:val="Nagłówek 3 Znak"/>
    <w:basedOn w:val="DefaultParagraphFont"/>
    <w:qFormat/>
    <w:rsid w:val="00d449c7"/>
    <w:rPr>
      <w:rFonts w:ascii="Verdana" w:hAnsi="Verdana" w:eastAsia="Times New Roman" w:cs="Verdana"/>
      <w:b/>
      <w:bCs/>
      <w:sz w:val="20"/>
      <w:szCs w:val="24"/>
      <w:lang w:eastAsia="ar-SA"/>
    </w:rPr>
  </w:style>
  <w:style w:type="character" w:styleId="Tekstpodstawowy2Znak" w:customStyle="1">
    <w:name w:val="Tekst podstawowy 2 Znak"/>
    <w:basedOn w:val="DefaultParagraphFont"/>
    <w:link w:val="BodyText2"/>
    <w:semiHidden/>
    <w:qFormat/>
    <w:rsid w:val="00f7647e"/>
    <w:rPr>
      <w:rFonts w:ascii="Times New Roman" w:hAnsi="Times New Roman" w:eastAsia="Times New Roman" w:cs="Times New Roman"/>
      <w:sz w:val="24"/>
      <w:szCs w:val="24"/>
      <w:lang w:eastAsia="pl-PL"/>
    </w:rPr>
  </w:style>
  <w:style w:type="character" w:styleId="ColozwykyZnak" w:customStyle="1">
    <w:name w:val="colo zwykły Znak"/>
    <w:basedOn w:val="DefaultParagraphFont"/>
    <w:link w:val="Colozwyky"/>
    <w:qFormat/>
    <w:rsid w:val="003130b8"/>
    <w:rPr>
      <w:rFonts w:ascii="Verdana" w:hAnsi="Verdana" w:eastAsia="Times New Roman" w:cs="Times New Roman"/>
      <w:sz w:val="20"/>
      <w:szCs w:val="24"/>
      <w:lang w:eastAsia="pl-PL"/>
    </w:rPr>
  </w:style>
  <w:style w:type="character" w:styleId="ColozwykyZnak1" w:customStyle="1">
    <w:name w:val="_colo zwykły Znak"/>
    <w:link w:val="Colozwyky1"/>
    <w:qFormat/>
    <w:rsid w:val="003130b8"/>
    <w:rPr>
      <w:rFonts w:ascii="Verdana" w:hAnsi="Verdana" w:eastAsia="Times New Roman" w:cs="Times New Roman"/>
      <w:sz w:val="20"/>
      <w:szCs w:val="24"/>
      <w:lang w:eastAsia="ar-SA"/>
    </w:rPr>
  </w:style>
  <w:style w:type="character" w:styleId="Colo1Znak" w:customStyle="1">
    <w:name w:val="_colo 1 Znak"/>
    <w:basedOn w:val="DefaultParagraphFont"/>
    <w:link w:val="Colo1"/>
    <w:qFormat/>
    <w:rsid w:val="003130b8"/>
    <w:rPr>
      <w:rFonts w:ascii="Verdana" w:hAnsi="Verdana" w:eastAsia="Times New Roman" w:cs="Verdana"/>
      <w:b/>
      <w:sz w:val="20"/>
      <w:szCs w:val="20"/>
      <w:lang w:eastAsia="ar-SA"/>
    </w:rPr>
  </w:style>
  <w:style w:type="character" w:styleId="Colo11Znak" w:customStyle="1">
    <w:name w:val="_colo 1.1 Znak"/>
    <w:basedOn w:val="DefaultParagraphFont"/>
    <w:link w:val="Colo11"/>
    <w:qFormat/>
    <w:rsid w:val="003130b8"/>
    <w:rPr>
      <w:rFonts w:ascii="Verdana" w:hAnsi="Verdana" w:eastAsia="Times New Roman" w:cs="Verdana"/>
      <w:b/>
      <w:sz w:val="20"/>
      <w:szCs w:val="20"/>
      <w:lang w:eastAsia="ar-SA"/>
    </w:rPr>
  </w:style>
  <w:style w:type="character" w:styleId="Czeindeksu">
    <w:name w:val="Łącze indeksu"/>
    <w:qFormat/>
    <w:rPr/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;Arial" w:hAnsi="Liberation Sans;Arial" w:eastAsia="Microsoft YaHei" w:cs="Arial Unicode MS"/>
      <w:sz w:val="28"/>
      <w:szCs w:val="28"/>
    </w:rPr>
  </w:style>
  <w:style w:type="paragraph" w:styleId="Tretekstu">
    <w:name w:val="Body Text"/>
    <w:basedOn w:val="Normal"/>
    <w:link w:val="TekstpodstawowyZnak"/>
    <w:uiPriority w:val="99"/>
    <w:semiHidden/>
    <w:rsid w:val="00f66061"/>
    <w:pPr>
      <w:jc w:val="both"/>
    </w:pPr>
    <w:rPr>
      <w:rFonts w:ascii="Verdana" w:hAnsi="Verdana"/>
      <w:sz w:val="20"/>
    </w:rPr>
  </w:style>
  <w:style w:type="paragraph" w:styleId="Lista">
    <w:name w:val="List"/>
    <w:basedOn w:val="Tretekstu"/>
    <w:pPr/>
    <w:rPr>
      <w:rFonts w:ascii="Liberation Serif;Times New Roman" w:hAnsi="Liberation Serif;Times New Roman" w:cs="Arial Unicode MS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ascii="Liberation Serif;Times New Roman" w:hAnsi="Liberation Serif;Times New Roman" w:cs="Arial Unicode M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ascii="Liberation Serif;Times New Roman" w:hAnsi="Liberation Serif;Times New Roman" w:cs="Arial Unicode MS"/>
      <w:lang w:val="zxx" w:eastAsia="zxx" w:bidi="zxx"/>
    </w:rPr>
  </w:style>
  <w:style w:type="paragraph" w:styleId="Gwkaistopka">
    <w:name w:val="Główka i stopka"/>
    <w:basedOn w:val="Normal"/>
    <w:qFormat/>
    <w:pPr/>
    <w:rPr/>
  </w:style>
  <w:style w:type="paragraph" w:styleId="Gwka">
    <w:name w:val="Header"/>
    <w:basedOn w:val="Normal"/>
    <w:link w:val="NagwekZnak"/>
    <w:semiHidden/>
    <w:rsid w:val="00f66061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Stopka">
    <w:name w:val="Footer"/>
    <w:basedOn w:val="Normal"/>
    <w:link w:val="StopkaZnak"/>
    <w:semiHidden/>
    <w:rsid w:val="00f66061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Colonagowek" w:customStyle="1">
    <w:name w:val="colo nagłowek"/>
    <w:basedOn w:val="Normal"/>
    <w:qFormat/>
    <w:rsid w:val="00f66061"/>
    <w:pPr>
      <w:numPr>
        <w:ilvl w:val="0"/>
        <w:numId w:val="2"/>
      </w:numPr>
      <w:suppressAutoHyphens w:val="true"/>
      <w:spacing w:before="0" w:after="240"/>
    </w:pPr>
    <w:rPr>
      <w:rFonts w:ascii="Verdana" w:hAnsi="Verdana"/>
      <w:b/>
      <w:sz w:val="20"/>
      <w:szCs w:val="20"/>
      <w:lang w:eastAsia="ar-SA"/>
    </w:rPr>
  </w:style>
  <w:style w:type="paragraph" w:styleId="Colopodrozdzial" w:customStyle="1">
    <w:name w:val="colo podrozdzial"/>
    <w:basedOn w:val="Colonagowek"/>
    <w:qFormat/>
    <w:rsid w:val="00f66061"/>
    <w:pPr/>
    <w:rPr/>
  </w:style>
  <w:style w:type="paragraph" w:styleId="Nagwekindeksu">
    <w:name w:val="Index Heading"/>
    <w:basedOn w:val="Nagwek"/>
    <w:pPr/>
    <w:rPr/>
  </w:style>
  <w:style w:type="paragraph" w:styleId="Nagwekspisutreci">
    <w:name w:val="TOC Heading"/>
    <w:basedOn w:val="Nagwek1"/>
    <w:next w:val="Normal"/>
    <w:uiPriority w:val="39"/>
    <w:qFormat/>
    <w:rsid w:val="00f66061"/>
    <w:pPr>
      <w:keepNext w:val="false"/>
      <w:suppressAutoHyphens w:val="true"/>
      <w:spacing w:lineRule="auto" w:line="276" w:before="480" w:after="240"/>
      <w:outlineLvl w:val="9"/>
    </w:pPr>
    <w:rPr>
      <w:rFonts w:ascii="Cambria" w:hAnsi="Cambria" w:eastAsia="Times New Roman" w:cs="Times New Roman"/>
      <w:b/>
      <w:color w:val="365F91"/>
      <w:sz w:val="28"/>
      <w:szCs w:val="28"/>
      <w:lang w:eastAsia="ar-SA"/>
    </w:rPr>
  </w:style>
  <w:style w:type="paragraph" w:styleId="Spistreci1">
    <w:name w:val="TOC 1"/>
    <w:basedOn w:val="Normal"/>
    <w:next w:val="Normal"/>
    <w:autoRedefine/>
    <w:uiPriority w:val="39"/>
    <w:rsid w:val="00f66061"/>
    <w:pPr>
      <w:suppressAutoHyphens w:val="true"/>
      <w:spacing w:lineRule="auto" w:line="276" w:before="0" w:after="100"/>
    </w:pPr>
    <w:rPr>
      <w:rFonts w:ascii="Calibri" w:hAnsi="Calibri"/>
      <w:b/>
      <w:sz w:val="22"/>
      <w:szCs w:val="22"/>
      <w:lang w:eastAsia="ar-SA"/>
    </w:rPr>
  </w:style>
  <w:style w:type="paragraph" w:styleId="Spistreci2">
    <w:name w:val="TOC 2"/>
    <w:basedOn w:val="Normal"/>
    <w:next w:val="Normal"/>
    <w:autoRedefine/>
    <w:uiPriority w:val="39"/>
    <w:rsid w:val="00f66061"/>
    <w:pPr>
      <w:suppressAutoHyphens w:val="true"/>
      <w:spacing w:lineRule="auto" w:line="276" w:before="0" w:after="100"/>
      <w:ind w:start="220" w:hanging="0"/>
    </w:pPr>
    <w:rPr>
      <w:rFonts w:ascii="Calibri" w:hAnsi="Calibri"/>
      <w:sz w:val="22"/>
      <w:szCs w:val="22"/>
      <w:lang w:eastAsia="ar-SA"/>
    </w:rPr>
  </w:style>
  <w:style w:type="paragraph" w:styleId="Colozwykly" w:customStyle="1">
    <w:name w:val="colo zwykly"/>
    <w:basedOn w:val="Normal"/>
    <w:qFormat/>
    <w:rsid w:val="00f66061"/>
    <w:pPr>
      <w:suppressAutoHyphens w:val="true"/>
      <w:spacing w:before="0" w:after="240"/>
      <w:jc w:val="both"/>
    </w:pPr>
    <w:rPr>
      <w:rFonts w:ascii="Verdana" w:hAnsi="Verdana" w:cs="Verdana"/>
      <w:sz w:val="20"/>
      <w:lang w:eastAsia="ar-SA"/>
    </w:rPr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813ceb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813ceb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813ceb"/>
    <w:pPr/>
    <w:rPr>
      <w:rFonts w:ascii="Segoe UI" w:hAnsi="Segoe UI" w:cs="Segoe UI"/>
      <w:sz w:val="18"/>
      <w:szCs w:val="18"/>
    </w:rPr>
  </w:style>
  <w:style w:type="paragraph" w:styleId="Colo2" w:customStyle="1">
    <w:name w:val="colo2"/>
    <w:basedOn w:val="Normal"/>
    <w:qFormat/>
    <w:rsid w:val="0042201a"/>
    <w:pPr>
      <w:numPr>
        <w:ilvl w:val="0"/>
        <w:numId w:val="1"/>
      </w:numPr>
    </w:pPr>
    <w:rPr/>
  </w:style>
  <w:style w:type="paragraph" w:styleId="Colopodrozdzial1" w:customStyle="1">
    <w:name w:val="colo podrozdzial1"/>
    <w:basedOn w:val="Normal"/>
    <w:qFormat/>
    <w:rsid w:val="0042201a"/>
    <w:pPr>
      <w:numPr>
        <w:ilvl w:val="1"/>
        <w:numId w:val="1"/>
      </w:numPr>
    </w:pPr>
    <w:rPr/>
  </w:style>
  <w:style w:type="paragraph" w:styleId="ListParagraph">
    <w:name w:val="List Paragraph"/>
    <w:basedOn w:val="Normal"/>
    <w:uiPriority w:val="34"/>
    <w:qFormat/>
    <w:rsid w:val="00c277d9"/>
    <w:pPr>
      <w:spacing w:before="0" w:after="0"/>
      <w:ind w:start="720" w:hanging="0"/>
      <w:contextualSpacing/>
    </w:pPr>
    <w:rPr/>
  </w:style>
  <w:style w:type="paragraph" w:styleId="BodyText3">
    <w:name w:val="Body Text 3"/>
    <w:basedOn w:val="Normal"/>
    <w:link w:val="Tekstpodstawowy3Znak"/>
    <w:uiPriority w:val="99"/>
    <w:semiHidden/>
    <w:unhideWhenUsed/>
    <w:qFormat/>
    <w:rsid w:val="00d449c7"/>
    <w:pPr>
      <w:spacing w:before="0" w:after="120"/>
    </w:pPr>
    <w:rPr>
      <w:sz w:val="16"/>
      <w:szCs w:val="16"/>
    </w:rPr>
  </w:style>
  <w:style w:type="paragraph" w:styleId="Tekstpodstawowy31" w:customStyle="1">
    <w:name w:val="Tekst podstawowy 31"/>
    <w:basedOn w:val="Normal"/>
    <w:qFormat/>
    <w:rsid w:val="00d449c7"/>
    <w:pPr>
      <w:suppressAutoHyphens w:val="true"/>
      <w:jc w:val="both"/>
    </w:pPr>
    <w:rPr>
      <w:rFonts w:ascii="Verdana" w:hAnsi="Verdana"/>
      <w:sz w:val="20"/>
      <w:szCs w:val="22"/>
      <w:lang w:eastAsia="ar-SA"/>
    </w:rPr>
  </w:style>
  <w:style w:type="paragraph" w:styleId="BodyText2">
    <w:name w:val="Body Text 2"/>
    <w:basedOn w:val="Normal"/>
    <w:link w:val="Tekstpodstawowy2Znak"/>
    <w:uiPriority w:val="99"/>
    <w:semiHidden/>
    <w:unhideWhenUsed/>
    <w:qFormat/>
    <w:rsid w:val="00f7647e"/>
    <w:pPr>
      <w:spacing w:lineRule="auto" w:line="480" w:before="0" w:after="120"/>
    </w:pPr>
    <w:rPr/>
  </w:style>
  <w:style w:type="paragraph" w:styleId="Colozwyky" w:customStyle="1">
    <w:name w:val="colo zwykły"/>
    <w:basedOn w:val="Normal"/>
    <w:link w:val="ColozwykyZnak"/>
    <w:qFormat/>
    <w:rsid w:val="003130b8"/>
    <w:pPr>
      <w:spacing w:before="0" w:after="240"/>
      <w:jc w:val="both"/>
    </w:pPr>
    <w:rPr>
      <w:rFonts w:ascii="Verdana" w:hAnsi="Verdana"/>
      <w:sz w:val="20"/>
    </w:rPr>
  </w:style>
  <w:style w:type="paragraph" w:styleId="Colozwyky1" w:customStyle="1">
    <w:name w:val="_colo zwykły"/>
    <w:basedOn w:val="Normal"/>
    <w:link w:val="ColozwykyZnak1"/>
    <w:qFormat/>
    <w:rsid w:val="003130b8"/>
    <w:pPr>
      <w:suppressAutoHyphens w:val="true"/>
      <w:spacing w:before="0" w:after="240"/>
      <w:jc w:val="both"/>
    </w:pPr>
    <w:rPr>
      <w:rFonts w:ascii="Verdana" w:hAnsi="Verdana"/>
      <w:sz w:val="20"/>
      <w:lang w:eastAsia="ar-SA"/>
    </w:rPr>
  </w:style>
  <w:style w:type="paragraph" w:styleId="Colo1" w:customStyle="1">
    <w:name w:val="_colo 1"/>
    <w:basedOn w:val="Colonagowek"/>
    <w:link w:val="Colo1Znak"/>
    <w:qFormat/>
    <w:rsid w:val="003130b8"/>
    <w:pPr>
      <w:numPr>
        <w:ilvl w:val="0"/>
        <w:numId w:val="0"/>
      </w:numPr>
      <w:tabs>
        <w:tab w:val="clear" w:pos="708"/>
        <w:tab w:val="left" w:pos="720" w:leader="none"/>
      </w:tabs>
      <w:ind w:start="360" w:hanging="360"/>
    </w:pPr>
    <w:rPr>
      <w:rFonts w:cs="Verdana"/>
    </w:rPr>
  </w:style>
  <w:style w:type="paragraph" w:styleId="Colo11" w:customStyle="1">
    <w:name w:val="_colo 1.1"/>
    <w:basedOn w:val="Colopodrozdzial"/>
    <w:link w:val="Colo11Znak"/>
    <w:qFormat/>
    <w:rsid w:val="003130b8"/>
    <w:pPr>
      <w:numPr>
        <w:ilvl w:val="0"/>
        <w:numId w:val="0"/>
      </w:numPr>
      <w:ind w:start="1069" w:hanging="720"/>
    </w:pPr>
    <w:rPr>
      <w:rFonts w:cs="Verdana"/>
    </w:rPr>
  </w:style>
  <w:style w:type="paragraph" w:styleId="NoSpacing">
    <w:name w:val="No Spacing"/>
    <w:uiPriority w:val="1"/>
    <w:qFormat/>
    <w:rsid w:val="00a607d8"/>
    <w:pPr>
      <w:widowControl/>
      <w:bidi w:val="0"/>
      <w:spacing w:lineRule="auto" w:line="240"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Zawartoramki">
    <w:name w:val="Zawartość ramki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start w:w="108" w:type="dxa"/>
        <w:bottom w:w="0" w:type="dxa"/>
        <w:end w:w="108" w:type="dxa"/>
      </w:tblCellMar>
    </w:tblPr>
  </w:style>
  <w:style w:type="table" w:styleId="Tabela-Siatka">
    <w:name w:val="Table Grid"/>
    <w:basedOn w:val="Standardowy"/>
    <w:uiPriority w:val="39"/>
    <w:rsid w:val="006b04af"/>
    <w:pPr>
      <w:spacing w:after="0" w:line="240" w:lineRule="auto"/>
    </w:pPr>
    <w:tblPr>
      <w:tblBorders>
        <w:top w:val="single" w:color="auto" w:sz="4" w:space="0"/>
        <w:start w:val="single" w:color="auto" w:sz="4" w:space="0"/>
        <w:bottom w:val="single" w:color="auto" w:sz="4" w:space="0"/>
        <w:end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image" Target="media/image21.png"/><Relationship Id="rId23" Type="http://schemas.openxmlformats.org/officeDocument/2006/relationships/image" Target="media/image22.png"/><Relationship Id="rId24" Type="http://schemas.openxmlformats.org/officeDocument/2006/relationships/image" Target="media/image23.png"/><Relationship Id="rId25" Type="http://schemas.openxmlformats.org/officeDocument/2006/relationships/image" Target="media/image24.png"/><Relationship Id="rId26" Type="http://schemas.openxmlformats.org/officeDocument/2006/relationships/image" Target="media/image25.png"/><Relationship Id="rId27" Type="http://schemas.openxmlformats.org/officeDocument/2006/relationships/image" Target="media/image26.png"/><Relationship Id="rId28" Type="http://schemas.openxmlformats.org/officeDocument/2006/relationships/image" Target="media/image27.png"/><Relationship Id="rId29" Type="http://schemas.openxmlformats.org/officeDocument/2006/relationships/image" Target="media/image28.png"/><Relationship Id="rId30" Type="http://schemas.openxmlformats.org/officeDocument/2006/relationships/header" Target="header1.xml"/><Relationship Id="rId31" Type="http://schemas.openxmlformats.org/officeDocument/2006/relationships/footer" Target="footer1.xml"/><Relationship Id="rId32" Type="http://schemas.openxmlformats.org/officeDocument/2006/relationships/footer" Target="footer2.xml"/><Relationship Id="rId33" Type="http://schemas.openxmlformats.org/officeDocument/2006/relationships/footer" Target="footer3.xml"/><Relationship Id="rId34" Type="http://schemas.openxmlformats.org/officeDocument/2006/relationships/numbering" Target="numbering.xml"/><Relationship Id="rId35" Type="http://schemas.openxmlformats.org/officeDocument/2006/relationships/fontTable" Target="fontTable.xml"/><Relationship Id="rId36" Type="http://schemas.openxmlformats.org/officeDocument/2006/relationships/settings" Target="settings.xml"/><Relationship Id="rId37" Type="http://schemas.openxmlformats.org/officeDocument/2006/relationships/theme" Target="theme/theme1.xml"/><Relationship Id="rId38" Type="http://schemas.openxmlformats.org/officeDocument/2006/relationships/customXml" Target="../customXml/item1.xml"/>
</Relationships>
</file>

<file path=word/theme/theme1.xml><?xml version="1.0" encoding="utf-8"?>
<a:theme xmlns:a="http://purl.oclc.org/ooxml/drawingml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%">
              <a:schemeClr val="phClr">
                <a:lumMod val="110%"/>
                <a:satMod val="105%"/>
                <a:tint val="67%"/>
              </a:schemeClr>
            </a:gs>
            <a:gs pos="50%">
              <a:schemeClr val="phClr">
                <a:lumMod val="105%"/>
                <a:satMod val="103%"/>
                <a:tint val="73%"/>
              </a:schemeClr>
            </a:gs>
            <a:gs pos="100%">
              <a:schemeClr val="phClr">
                <a:lumMod val="105%"/>
                <a:satMod val="109%"/>
                <a:tint val="81%"/>
              </a:schemeClr>
            </a:gs>
          </a:gsLst>
          <a:lin ang="5400000" scaled="0"/>
        </a:gradFill>
        <a:gradFill rotWithShape="1">
          <a:gsLst>
            <a:gs pos="0%">
              <a:schemeClr val="phClr">
                <a:satMod val="103%"/>
                <a:lumMod val="102%"/>
                <a:tint val="94%"/>
              </a:schemeClr>
            </a:gs>
            <a:gs pos="50%">
              <a:schemeClr val="phClr">
                <a:satMod val="110%"/>
                <a:lumMod val="100%"/>
                <a:shade val="100%"/>
              </a:schemeClr>
            </a:gs>
            <a:gs pos="100%">
              <a:schemeClr val="phClr">
                <a:lumMod val="99%"/>
                <a:satMod val="120%"/>
                <a:shade val="78%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%"/>
        </a:ln>
        <a:ln w="12700" cap="flat" cmpd="sng" algn="ctr">
          <a:solidFill>
            <a:schemeClr val="phClr"/>
          </a:solidFill>
          <a:prstDash val="solid"/>
          <a:miter lim="800%"/>
        </a:ln>
        <a:ln w="19050" cap="flat" cmpd="sng" algn="ctr">
          <a:solidFill>
            <a:schemeClr val="phClr"/>
          </a:solidFill>
          <a:prstDash val="solid"/>
          <a:miter lim="800%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%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%"/>
            <a:satMod val="170%"/>
          </a:schemeClr>
        </a:solidFill>
        <a:gradFill rotWithShape="1">
          <a:gsLst>
            <a:gs pos="0%">
              <a:schemeClr val="phClr">
                <a:tint val="93%"/>
                <a:satMod val="150%"/>
                <a:shade val="98%"/>
                <a:lumMod val="102%"/>
              </a:schemeClr>
            </a:gs>
            <a:gs pos="50%">
              <a:schemeClr val="phClr">
                <a:tint val="98%"/>
                <a:satMod val="130%"/>
                <a:shade val="90%"/>
                <a:lumMod val="103%"/>
              </a:schemeClr>
            </a:gs>
            <a:gs pos="100%">
              <a:schemeClr val="phClr">
                <a:shade val="63%"/>
                <a:satMod val="120%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purl.oclc.org/ooxml/officeDocument/customXml" ds:itemID="{E5A19492-FC56-451E-AB6E-10FB5259B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LibreOffice/7.4.0.3$Windows_X86_64 LibreOffice_project/f85e47c08ddd19c015c0114a68350214f7066f5a</Application>
  <AppVersion>15.0000</AppVersion>
  <Pages>23</Pages>
  <Words>2373</Words>
  <Characters>15625</Characters>
  <CharactersWithSpaces>17863</CharactersWithSpaces>
  <Paragraphs>371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2024-11-09T12:20:00Z</dcterms:created>
  <dc:creator>Paweł</dc:creator>
  <dc:description/>
  <dc:language>pl-PL</dc:language>
  <cp:lastModifiedBy/>
  <cp:lastPrinted>2024-10-23T10:26:00Z</cp:lastPrinted>
  <dcterms:modified xsi:type="dcterms:W3CDTF">2024-12-17T14:09:04Z</dcterms:modified>
  <cp:revision>65</cp:revision>
  <dc:subject/>
  <dc:title/>
</cp:coreProperties>
</file>